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Title Page</w:t>
      </w:r>
    </w:p>
    <w:p w:rsidR="00000000" w:rsidDel="00000000" w:rsidP="00000000" w:rsidRDefault="00000000" w:rsidRPr="00000000" w14:paraId="00000002">
      <w:pPr>
        <w:spacing w:after="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Khuman Bhagirath Jetubhai</w:t>
      </w:r>
      <w:r w:rsidDel="00000000" w:rsidR="00000000" w:rsidRPr="00000000">
        <w:rPr>
          <w:rFonts w:ascii="Times New Roman" w:cs="Times New Roman" w:eastAsia="Times New Roman" w:hAnsi="Times New Roman"/>
          <w:vertAlign w:val="superscript"/>
          <w:rtl w:val="0"/>
        </w:rPr>
        <w:t xml:space="preserve">a</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ffffff"/>
          <w:highlight w:val="white"/>
          <w:vertAlign w:val="superscript"/>
        </w:rPr>
        <w:footnoteReference w:customMarkFollows="0" w:id="0"/>
      </w:r>
      <w:hyperlink r:id="rId7">
        <w:r w:rsidDel="00000000" w:rsidR="00000000" w:rsidRPr="00000000">
          <w:rPr>
            <w:rFonts w:ascii="Times New Roman" w:cs="Times New Roman" w:eastAsia="Times New Roman" w:hAnsi="Times New Roman"/>
            <w:color w:val="1155cc"/>
            <w:u w:val="single"/>
            <w:rtl w:val="0"/>
          </w:rPr>
          <w:t xml:space="preserve">khuman.bhagirath@thapar.edu</w:t>
        </w:r>
      </w:hyperlink>
      <w:r w:rsidDel="00000000" w:rsidR="00000000" w:rsidRPr="00000000">
        <w:rPr>
          <w:rtl w:val="0"/>
        </w:rPr>
      </w:r>
    </w:p>
    <w:p w:rsidR="00000000" w:rsidDel="00000000" w:rsidP="00000000" w:rsidRDefault="00000000" w:rsidRPr="00000000" w14:paraId="0000000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 of Humanities &amp; Social Sciences, Thapar Institute of Engineering &amp; Technology , India</w:t>
      </w:r>
    </w:p>
    <w:p w:rsidR="00000000" w:rsidDel="00000000" w:rsidP="00000000" w:rsidRDefault="00000000" w:rsidRPr="00000000" w14:paraId="00000006">
      <w:pPr>
        <w:spacing w:after="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spacing w:after="0" w:lineRule="auto"/>
        <w:jc w:val="center"/>
        <w:rPr>
          <w:rFonts w:ascii="Times New Roman" w:cs="Times New Roman" w:eastAsia="Times New Roman" w:hAnsi="Times New Roman"/>
          <w:vertAlign w:val="superscript"/>
        </w:rPr>
      </w:pPr>
      <w:r w:rsidDel="00000000" w:rsidR="00000000" w:rsidRPr="00000000">
        <w:rPr>
          <w:rFonts w:ascii="Times New Roman" w:cs="Times New Roman" w:eastAsia="Times New Roman" w:hAnsi="Times New Roman"/>
          <w:rtl w:val="0"/>
        </w:rPr>
        <w:t xml:space="preserve">Madhumita Ghosal</w:t>
      </w:r>
      <w:r w:rsidDel="00000000" w:rsidR="00000000" w:rsidRPr="00000000">
        <w:rPr>
          <w:rFonts w:ascii="Times New Roman" w:cs="Times New Roman" w:eastAsia="Times New Roman" w:hAnsi="Times New Roman"/>
          <w:vertAlign w:val="superscript"/>
          <w:rtl w:val="0"/>
        </w:rPr>
        <w:t xml:space="preserve">b</w:t>
      </w:r>
    </w:p>
    <w:p w:rsidR="00000000" w:rsidDel="00000000" w:rsidP="00000000" w:rsidRDefault="00000000" w:rsidRPr="00000000" w14:paraId="00000008">
      <w:pPr>
        <w:spacing w:after="0" w:lineRule="auto"/>
        <w:jc w:val="center"/>
        <w:rPr>
          <w:rFonts w:ascii="Times New Roman" w:cs="Times New Roman" w:eastAsia="Times New Roman" w:hAnsi="Times New Roman"/>
        </w:rPr>
      </w:pPr>
      <w:bookmarkStart w:colFirst="0" w:colLast="0" w:name="_co71b93of726" w:id="0"/>
      <w:bookmarkEnd w:id="0"/>
      <w:hyperlink r:id="rId8">
        <w:r w:rsidDel="00000000" w:rsidR="00000000" w:rsidRPr="00000000">
          <w:rPr>
            <w:rFonts w:ascii="Times New Roman" w:cs="Times New Roman" w:eastAsia="Times New Roman" w:hAnsi="Times New Roman"/>
            <w:color w:val="1155cc"/>
            <w:highlight w:val="white"/>
            <w:u w:val="single"/>
            <w:rtl w:val="0"/>
          </w:rPr>
          <w:t xml:space="preserve">mita_madhu@hotmail.com</w:t>
        </w:r>
      </w:hyperlink>
      <w:r w:rsidDel="00000000" w:rsidR="00000000" w:rsidRPr="00000000">
        <w:rPr>
          <w:rtl w:val="0"/>
        </w:rPr>
      </w:r>
    </w:p>
    <w:p w:rsidR="00000000" w:rsidDel="00000000" w:rsidP="00000000" w:rsidRDefault="00000000" w:rsidRPr="00000000" w14:paraId="00000009">
      <w:pPr>
        <w:shd w:fill="ffffff" w:val="clear"/>
        <w:spacing w:after="0" w:lineRule="auto"/>
        <w:jc w:val="center"/>
        <w:rPr>
          <w:rFonts w:ascii="Times New Roman" w:cs="Times New Roman" w:eastAsia="Times New Roman" w:hAnsi="Times New Roman"/>
          <w:b w:val="1"/>
          <w:bCs w:val="1"/>
        </w:rPr>
      </w:pPr>
      <w:bookmarkStart w:colFirst="0" w:colLast="0" w:name="_xiw5nmx2oedh" w:id="1"/>
      <w:bookmarkEnd w:id="1"/>
      <w:r w:rsidDel="00000000" w:rsidR="00000000" w:rsidRPr="00000000">
        <w:rPr>
          <w:rFonts w:ascii="Times New Roman" w:cs="Times New Roman" w:eastAsia="Times New Roman" w:hAnsi="Times New Roman"/>
          <w:rtl w:val="0"/>
        </w:rPr>
        <w:t xml:space="preserve">Department of Humanities &amp; Social Sciences, Visvesvaraya National Institute of Technology, Nagpur, India</w:t>
      </w:r>
      <w:r w:rsidDel="00000000" w:rsidR="00000000" w:rsidRPr="00000000">
        <w:rPr>
          <w:rtl w:val="0"/>
        </w:rPr>
      </w:r>
    </w:p>
    <w:p w:rsidR="00000000" w:rsidDel="00000000" w:rsidP="00000000" w:rsidRDefault="00000000" w:rsidRPr="00000000" w14:paraId="0000000A">
      <w:pPr>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B">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C">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D">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E">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F">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0">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1">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2">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3">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4">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5">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6">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7">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8">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9">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A">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B">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C">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8"/>
          <w:szCs w:val="28"/>
          <w:rtl w:val="0"/>
        </w:rPr>
        <w:t xml:space="preserve">Beyond Binary: Critical Perspectives on Ungendered Characters in Contemporary Fiction</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ABSTRACT</w:t>
      </w:r>
    </w:p>
    <w:p w:rsidR="00000000" w:rsidDel="00000000" w:rsidP="00000000" w:rsidRDefault="00000000" w:rsidRPr="00000000" w14:paraId="00000020">
      <w:pPr>
        <w:rPr>
          <w:sz w:val="20"/>
          <w:szCs w:val="20"/>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smallCaps w:val="0"/>
          <w:strike w:val="0"/>
          <w:u w:val="none"/>
          <w:shd w:fill="auto" w:val="clear"/>
          <w:vertAlign w:val="baseline"/>
          <w:rtl w:val="0"/>
        </w:rPr>
        <w:t xml:space="preserve">This paper provides a critical review of scholarship on novels featuring ungendered narratives, including works by Maureen Duffy, June Arnold, Gene Kemp, Jeanette Winterson, David Levithan, Steve Brezenoff, and Anne Garréta. </w:t>
      </w:r>
      <w:r w:rsidDel="00000000" w:rsidR="00000000" w:rsidRPr="00000000">
        <w:rPr>
          <w:rFonts w:ascii="Times New Roman" w:cs="Times New Roman" w:eastAsia="Times New Roman" w:hAnsi="Times New Roman"/>
          <w:rtl w:val="0"/>
        </w:rPr>
        <w:t xml:space="preserve">It brings together critical views on five main areas: (1) the literary and political importance of characters whose gender is not clear; (2) readers' ongoing efforts to assign gender even when the author doesn't want them to; (3) the portrayal of love and desire outside of the gender binary; (4) the limits of the English language and the creative ways authors employ; and (5) the difficulties of translating these stories into languages with strict grammatical gender systems.</w:t>
      </w:r>
      <w:r w:rsidDel="00000000" w:rsidR="00000000" w:rsidRPr="00000000">
        <w:rPr>
          <w:rFonts w:ascii="Times New Roman" w:cs="Times New Roman" w:eastAsia="Times New Roman" w:hAnsi="Times New Roman"/>
          <w:smallCaps w:val="0"/>
          <w:strike w:val="0"/>
          <w:u w:val="none"/>
          <w:shd w:fill="auto" w:val="clear"/>
          <w:vertAlign w:val="baseline"/>
          <w:rtl w:val="0"/>
        </w:rPr>
        <w:t xml:space="preserve"> Although this literary form has received limited scholarly attention, existing criticism reveals its profound capacity to challenge heteronormative assumptions, disrupt gender binaries, and reshape readers’ understanding of identity. By synthesizing this body of work, this study argues for the continued relevance of ungendered narratives in destabilizing essentialist views of gender and identifies gaps in current scholarship that will inform future research.</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u w:val="none"/>
          <w:shd w:fill="auto" w:val="clear"/>
          <w:vertAlign w:val="baseline"/>
        </w:rPr>
      </w:pPr>
      <w:r w:rsidDel="00000000" w:rsidR="00000000" w:rsidRPr="00000000">
        <w:rPr>
          <w:rFonts w:ascii="Times New Roman" w:cs="Times New Roman" w:eastAsia="Times New Roman" w:hAnsi="Times New Roman"/>
          <w:b w:val="1"/>
          <w:bCs w:val="1"/>
          <w:smallCaps w:val="0"/>
          <w:strike w:val="0"/>
          <w:u w:val="none"/>
          <w:shd w:fill="auto" w:val="clear"/>
          <w:vertAlign w:val="baseline"/>
          <w:rtl w:val="0"/>
        </w:rPr>
        <w:t xml:space="preserve">Keywords:</w:t>
      </w:r>
      <w:r w:rsidDel="00000000" w:rsidR="00000000" w:rsidRPr="00000000">
        <w:rPr>
          <w:rFonts w:ascii="Times New Roman" w:cs="Times New Roman" w:eastAsia="Times New Roman" w:hAnsi="Times New Roman"/>
          <w:smallCaps w:val="0"/>
          <w:strike w:val="0"/>
          <w:u w:val="none"/>
          <w:shd w:fill="auto" w:val="clear"/>
          <w:vertAlign w:val="baseline"/>
          <w:rtl w:val="0"/>
        </w:rPr>
        <w:t xml:space="preserve"> genderless characters; gender stereotyping; genre; literary tropes; postmodern literature</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26">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INTRODUCTION: </w:t>
      </w:r>
      <w:r w:rsidDel="00000000" w:rsidR="00000000" w:rsidRPr="00000000">
        <w:rPr>
          <w:rFonts w:ascii="Times New Roman" w:cs="Times New Roman" w:eastAsia="Times New Roman" w:hAnsi="Times New Roman"/>
          <w:color w:val="000000"/>
          <w:sz w:val="24"/>
          <w:szCs w:val="24"/>
          <w:rtl w:val="0"/>
        </w:rPr>
        <w:t xml:space="preserve">WHAT IS AN UNGENDERED NARRATIVE?</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Although ungendered narratives represent an increasingly significant literary intervention in contemporary fiction, they remain marginalized within literary scholarship. Despite works by authors such as Jeanette Winterson, David Levithan, and Anne Garréta receiving individual critical attention, no comprehensive synthesis of scholarship on this literary form exists. This absence is particularly problematic given the form's capacity to challenge gender essentialism and disrupt heteronormative assumptions. Additionally, persistent tensions exist between authors' explicit efforts to preserve gender ambiguity and critics' habitual impulses to assign gender to characters—tensions that remain inadequately theorized. Finally, the relationship between ungendered narratives and evolving cultural conversations about non-binary and genderfluid identities has received limited scholarly exploration.</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Critics have sought to theorize the nature of ungendered narratives, a relatively rare and understudied literary form. The use of ungendered characters remains a “highly original device” (Finney, 2000), representing a significant departure from conventional narrative practice. Susan S. Lanser conceptualizes ungendering as a form of “queering narrative” (Lanser, 2018, p. 1), investigating how both “homodiegetic and heterodiegetic narrative take queer forms” (Lanser, 2018, p. 1). For Lanser, this technique “disrupt[s] or deconstruct[s]” traditional structures by “rejecting . . . norms” of established literary convention (Lanser, 2018, p. 2).</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Scholars like Jan Alber categorize such experimental works as “unnatural narratives,” which “constitute a distinctive and important subset of experimental literature” (Alber et al., 2012, p. 351). Sam Stockwell describes this innovation as “a classic and perhaps even the beginning of a new literature” (1974, p. 14), while Brian Richardson (2006) situates ungendered narratives within the broader context of postmodernist avant-garde writing. As Goodwin (2015) argues, a genderless narrative is “inherently a political act,” one “born from the experiences of marginalized subjects who are constrained in everyday life by social norms.” Together, these theoretical framings position ungendered narratives not merely as stylistic experiments, but as politically engaged interventions that challenge normative structures of identity and representation.</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pStyle w:val="Heading3"/>
        <w:spacing w:after="0" w:before="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UNGENDERED CHARACTERS AND THE POLITICS OF THE BODY</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The gender-ambiguous character is the central feature of the ungendered narrative. Because characters are embodied entities within fictional worlds, the body itself becomes a critical site of analysis. Hannele Kivinen (2016) argues that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Written on the Body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destabilizes the power dynamics of gender and sexuality by stripping away gendered markers. The narrative challenges the notion that “normal” bodies possess natural desires while “deviant” desires stem from corrupted bodies, suggesting instead that human desire encompasses a spectrum of expressions that often resist heteronormative frameworks. Kivinen contends that Winterson’s work helps reimagine concepts of embodiment and desire as fluid and all-encompassing rather than restrictive and rigid.</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rtl w:val="0"/>
        </w:rPr>
        <w:t xml:space="preserve">Critiques of other ungendered narratives echo this conceptual shift.</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John Taylor (2015), analyzing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Sphinx</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catalogs the possibilities its ungendered pairing produces, asking, “Is theirs a woman–woman, man–man, man–woman, or woman–man relationship?” His question underscores that the couple could involve any combination of cisgender or transgender identities, highlighting the myriad gender possibilities for any relationship. Zita Farkas (2016) argues that this love story, freed from a gendered framework, breaks the conventional mold of hetero-/homosexual romances. Similarly, Kim (2010) observes that the descriptions of desire transcend the bodily restrictions of male/female and homo/hetero binaries.</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Margaret Ravenel Richardson (2008) examines this transcendent representation of desire in Winterson’s work, concluding that “Her vision of erotic love transcends the hierarchical binaries of man/woman, dominant/inferior, lover/beloved, symbolic/abject, and sinful/righteous that have long pervaded sexual relations” (p. 17). Furthermore, “Without the division and oppression implicit in these oppositions, love becomes a holy and transformative union” (M. R. Richardson, 2008, p. 17).</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However, this experimental form also invites critical scrutiny. Ellen Berry (2007) poses essential questions: “Does Winterson’s experiment succeed in liberating the love story from the constraints of gendered and heterosexualized scripts? . . . Does rendering gender indeterminate and proliferating sexual categories—as the novel so painstakingly tries to do—necessarily prove transgressive in a more general sense?” Brian Finney (2000) addresses these concerns, noting that “Winterson herself insists that her use of an ungendered narrator is intended to burrow beneath the divisions of gender in order to excavate the essence of love.” Similarly, Francesca Maioli (2009) points out that the narrator’s gender is never specified because “the author wants to make an explicit statement about the universal nature of love, which is independent of the lovers’ sexes” (p. 143).</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pStyle w:val="Heading2"/>
        <w:spacing w:after="0" w:before="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THE LITERARY AND POLITICAL SIGNIFICANCE OF UNGENDERED NARRATIVES</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Several critics have articulated why the creation of ungendered narratives constitutes a significant literary and political intervention. M. R. Richardson (2008) contends that writing such narratives is vital because it gives voice to marginalized populations—particularly gender and sexual minorities who have historically been excluded from or misrepresented in mainstream literature. She argues that ungendered narratives also perform the crucial function of queering conventional narrative forms by challenging readers’ expectations about narration and point of view through the deliberate withholding of one or more characters’ gender. This practice, she suggests, has the potential to establish “a new model of narrative that can embrace the many non- and anti-realist practices” (B. Richardson, 2006, cover copy), including the concealment of narrator and character gender.</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Méndez (2010) approaches these narratives through the lens of their contribution to dismantling heterosexism. In her analysis, the ungendered narrative </w:t>
      </w:r>
      <w:r w:rsidDel="00000000" w:rsidR="00000000" w:rsidRPr="00000000">
        <w:rPr>
          <w:rFonts w:ascii="Times New Roman" w:cs="Times New Roman" w:eastAsia="Times New Roman" w:hAnsi="Times New Roman"/>
          <w:rtl w:val="0"/>
        </w:rPr>
        <w:t xml:space="preserve">subverts conventional norms and identity classifications by declining to attribute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gender to its characters. Through this refusal, it subverts and destabilizes the notion of a fixed self—an idea that can, and should, be deconstructed through the power of narrative form.</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In “Traversing the Feminine: The Reclamation of Women’s ‘Immense Bodily Territories’ in Jeanette Winterson’s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Written on the Body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and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The Passion</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M. R. Richardson (2008) reiterates the </w:t>
      </w:r>
      <w:r w:rsidDel="00000000" w:rsidR="00000000" w:rsidRPr="00000000">
        <w:rPr>
          <w:rFonts w:ascii="Times New Roman" w:cs="Times New Roman" w:eastAsia="Times New Roman" w:hAnsi="Times New Roman"/>
          <w:rtl w:val="0"/>
        </w:rPr>
        <w:t xml:space="preserve">transforming impact</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of literature in general and ungendered narratives in particular. She argues that dismantling the gender binary requires a cultural revolution, and that art “plays a fundamental role in the </w:t>
      </w:r>
      <w:r w:rsidDel="00000000" w:rsidR="00000000" w:rsidRPr="00000000">
        <w:rPr>
          <w:rFonts w:ascii="Times New Roman" w:cs="Times New Roman" w:eastAsia="Times New Roman" w:hAnsi="Times New Roman"/>
          <w:rtl w:val="0"/>
        </w:rPr>
        <w:t xml:space="preserve">realization</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of this cultural revolution” (p. 17). Supporting this claim, she quotes Winterson, who perceives “enormous power” in the agency of literature, believing it can “offer[s] ways of seeing yourself and yourself in the world” (as cited in M. R. Richardson, 2008, p. 17). Authors such as Winterson, who employ genderless narrators and characters, thus appear to harness this transformative potential to challenge dominant cultural frameworks. M. R. Richardson (2008) further notes that Winterson’s novels “are a testament to the self-reflexive experience that the best writing provides, insisting that her reader question their identity, sexuality, and the entire social order” (p. 17).</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Taken together, these critical perspectives establish ungendered narratives as more than mere formal experiments; they function as instruments of social transformation and consciousness-raising.</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READER ENGAGEMENT WITH UNGENDERED NARRATIVES</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pStyle w:val="Heading3"/>
        <w:spacing w:after="0" w:before="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THE ACTIVE READER: NARRATIVE PARTICIPATION AND MEANING-MAKING</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Critical scholarship on ungendered narratives emphasizes the fundamentally altered relationship these works establish between text and reader. Méndez (2010) </w:t>
      </w:r>
      <w:r w:rsidDel="00000000" w:rsidR="00000000" w:rsidRPr="00000000">
        <w:rPr>
          <w:rFonts w:ascii="Times New Roman" w:cs="Times New Roman" w:eastAsia="Times New Roman" w:hAnsi="Times New Roman"/>
          <w:rtl w:val="0"/>
        </w:rPr>
        <w:t xml:space="preserve">emphasizes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the </w:t>
      </w:r>
      <w:r w:rsidDel="00000000" w:rsidR="00000000" w:rsidRPr="00000000">
        <w:rPr>
          <w:rFonts w:ascii="Times New Roman" w:cs="Times New Roman" w:eastAsia="Times New Roman" w:hAnsi="Times New Roman"/>
          <w:rtl w:val="0"/>
        </w:rPr>
        <w:t xml:space="preserve">profound interconnection</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between narrative and reader: through its inherent charm and power, the narrative draws readers closer, influences them, and moves them. In ungendered narratives, the concealment of characters’ gender prevents readers from attaining complete narrative closure, creating what Méndez calls a “roadblock” to the satisfaction typically derived from resolved narratives. Instead of passively absorbing a finished story, readers must construct their own sense of resolution, becoming active participants and co-creators of meaning. They generate interpretations within the framework provided by the author while filling in the deliberate gaps the narrative leaves open. Reading thus ceases to be a passive act of reception and becomes an act of interpretation—an intellectually demanding and participatory process requiring sustained attention and imaginative engagement.</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Toma (2015) aptly describes Winterson’s genderless narrator as “an interesting challenging feature” (p. 4). Echoing Méndez’s view, she observes that the narrative invites readers to determine the character’s gender, effectively requesting their collaboration in shaping the novel—or at least a particular version of it. Toma (2015) further notes that gender and sexuality are conventionally regarded as fixed and essential components of identity, resistant to ambiguity. However, Winterson and other authors of ungendered narratives </w:t>
      </w:r>
      <w:r w:rsidDel="00000000" w:rsidR="00000000" w:rsidRPr="00000000">
        <w:rPr>
          <w:rFonts w:ascii="Times New Roman" w:cs="Times New Roman" w:eastAsia="Times New Roman" w:hAnsi="Times New Roman"/>
          <w:rtl w:val="0"/>
        </w:rPr>
        <w:t xml:space="preserve">challenge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this notion, questioning </w:t>
      </w:r>
      <w:r w:rsidDel="00000000" w:rsidR="00000000" w:rsidRPr="00000000">
        <w:rPr>
          <w:rFonts w:ascii="Times New Roman" w:cs="Times New Roman" w:eastAsia="Times New Roman" w:hAnsi="Times New Roman"/>
          <w:rtl w:val="0"/>
        </w:rPr>
        <w:t xml:space="preserve">the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presumed clarity and permanence</w:t>
      </w:r>
      <w:r w:rsidDel="00000000" w:rsidR="00000000" w:rsidRPr="00000000">
        <w:rPr>
          <w:rFonts w:ascii="Times New Roman" w:cs="Times New Roman" w:eastAsia="Times New Roman" w:hAnsi="Times New Roman"/>
          <w:rtl w:val="0"/>
        </w:rPr>
        <w:t xml:space="preserve"> of gender</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By creating a genderless character, Winterson’s work enacts Butler’s theory of gender performativity, using narrative form to challenge the social construction of gender. Toma (2015) </w:t>
      </w:r>
      <w:r w:rsidDel="00000000" w:rsidR="00000000" w:rsidRPr="00000000">
        <w:rPr>
          <w:rFonts w:ascii="Times New Roman" w:cs="Times New Roman" w:eastAsia="Times New Roman" w:hAnsi="Times New Roman"/>
          <w:rtl w:val="0"/>
        </w:rPr>
        <w:t xml:space="preserve">asserts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“Ultimately, what is interesting is not Winterson’s success or failure to deconstruct binaries, but the reader’s response to this attempt and what it represents as a revelatory comment on contemporary society” (p. 4).</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B. Richardson (2006) argues that characters are kept ungendered to deconstruct the concept of gender identity</w:t>
      </w:r>
      <w:r w:rsidDel="00000000" w:rsidR="00000000" w:rsidRPr="00000000">
        <w:rPr>
          <w:rFonts w:ascii="Times New Roman" w:cs="Times New Roman" w:eastAsia="Times New Roman" w:hAnsi="Times New Roman"/>
          <w:rtl w:val="0"/>
        </w:rPr>
        <w:t xml:space="preserve"> itself</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Genderless characters, he suggests, transcend binary distinctions and the limitations of homo/heteronormativity by rejecting fixed and closed identities. In doing so, they help redefine the relations “between author, implied author, narrator, and audience and, more significantly, of the ‘unnatural’ aspects of fictional narration” (2006). Chromey (2011) describes this strategy of gender ambiguity as “an amazing feat of storytelling.” Similarly, Jake Hayes (2014) contends that an ungendered narrative not only challenges readers’ ingrained stereotypes but “also has enormous fun doing it.” He praises Kemp’s technique of maintaining gender ambiguity throughout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The Turbulent Term of Tyke Tiler</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only to reveal it at the end as “a genius piece of rug pulling” that “makes you reassess everything you’ve read” (Hayes, 2014). By compelling readers to re-evaluate their assumptions, Kemp effectively undermines the gender stereotypes they bring to the text. Hayes (2014) concludes </w:t>
      </w:r>
      <w:r w:rsidDel="00000000" w:rsidR="00000000" w:rsidRPr="00000000">
        <w:rPr>
          <w:rFonts w:ascii="Times New Roman" w:cs="Times New Roman" w:eastAsia="Times New Roman" w:hAnsi="Times New Roman"/>
          <w:rtl w:val="0"/>
        </w:rPr>
        <w:t xml:space="preserve">that the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novel’s true brilliance lies in demonstrating that “it doesn’t matter a jot whether Tyke is a girl or a boy—she is our hero.”</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pStyle w:val="Heading3"/>
        <w:spacing w:after="0" w:before="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THE GENDERING IMPULSE: CRITICAL ATTEMPTS TO DECODE CHARACTER IDENTITY</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Despite authors’ intentions to preserve gender ambiguity, the critical reception of ungendered narratives reveals a persistent impulse among readers and reviewers to assign gender to characters. Discussing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Sphinx</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Chris Clarke (2015) explains that reading an ungendered narrative unfolds in three stages: “First, the love story goes on. Beautifully, musically, and tragically. Second, the hunt for hints or clues that will solve this riddle becomes equally important. And third, curiosity and wonderment at the craftsmanship involved in concealing such a simple detail.” The second stage—the search for clues—is particularly revealing of reader psychology. Yet, contrary to Clarke’s description, the riddle of gender ambiguity cannot be solved. The moment readers recognize that a character’s gender—or any human being’s gender—is not a puzzle requiring resolution, a conceptual transformation occurs.</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This transformative effect on readers is analyzed by Gill Rye (2000), who argues that such narratives destabilize fixed notions of gender, prompting readers to question their own assumptions about identity. Rye (2000) describes “the positive nature of such reading effects” as “active, interrogative and creative” (p. 531), encouraging readers to “question (our own) knowledge, and thus of the systems which underpin it” (p. 531).</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Chromey (2011) notes that readers often find ungendered characters unsettling “because you’re [readers] hoping Steve [Brezenoff] dropped a clue somewhere.” She admits to spending considerable time searching for such clues in her own reading, hoping for a revelatory moment. Many critics, she observes, claim to have “decoded” a character’s gender. Her response to this impulse is pointed: “even if I (or any reader) had ‘figured it out,’ it would say more about my ideas of gender, what’s considered feminine and what’s considered masculine than anything else.” Chromey’s (2011) observation highlights that attempts to gender characters reveal more about readers’ internalized gender assumptions than about either authorial intent or textual evidence.</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Monika Fludernik (1999) provides empirical evidence of this interpretive tendency in her study of readers’ responses to Gabriel Josipovici’s ungendered short story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“The Bird Cage.”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Based on data collected from students and teachers, she found that “More women, given a male author, conclude by default that the narrator will be male. Likewise, when the author is unknown, male readers sometimes allow themselves to project their own gender identification on the narrative persona” (Fludernik, 1999). She </w:t>
      </w:r>
      <w:r w:rsidDel="00000000" w:rsidR="00000000" w:rsidRPr="00000000">
        <w:rPr>
          <w:rFonts w:ascii="Times New Roman" w:cs="Times New Roman" w:eastAsia="Times New Roman" w:hAnsi="Times New Roman"/>
          <w:rtl w:val="0"/>
        </w:rPr>
        <w:t xml:space="preserve">ascribes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these responses to “women’s habitual confrontation with a dominantly male literary world in which male authors most frequently write about male protagonists” (Fludernik, 1999). Such findings underscore how deeply ingrained gender assumptions shape reading practices and demonstrate the importance of narratives that challenge these defaults.</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Kwangsoon Kim (2010) observes that readers of ungendered narratives tend to adopt one of two extreme positions: they either become fixated on determining the narrator’s gender (over-gendering) or dismiss gender as irrelevant (under-gendering). While Fludernik (1999) suggests that “gender signals” in a text may allow for tentative inferences, she also acknowledges that such determinations can never be certain. Nevertheless, most critics continue to focus on identifying gender rather than accepting ambiguity. John Taylor (2015) aptly summarizes this epistemological impasse, asserting that “it is impossible to determine the gender of the… characters.” He adds, “The reader must work this out—and will fail” (Taylor, 2015).</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Jago Morrison (2006) examines critical responses to Winterson’s works, noting the author’s frustration at being repeatedly misinterpreted through the label “lesbian feminist writer,” a categorization that inevitably shapes how her texts are read. Bilger cites Winterson questioning whether “people’s sexuality is really that fixed” (as cited in Finney, 2000). Finney (2000), condemning what he calls unnecessary “detective work,” quotes Winterson’s clarification that “the gender of the character is both, throughout the book, and changes; sometimes it’s female, sometimes it’s male.” This statement not only ends speculation but also exposes the futility of assigning a definitive gender to a person.</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rtl w:val="0"/>
        </w:rPr>
        <w:t xml:space="preserve">Finney (2000) and Winterson contend that clue-based readings are problematic because they depend on socially constructed gender norms, thereby perpetuating </w:t>
      </w:r>
      <w:r w:rsidDel="00000000" w:rsidR="00000000" w:rsidRPr="00000000">
        <w:rPr>
          <w:rFonts w:ascii="Times New Roman" w:cs="Times New Roman" w:eastAsia="Times New Roman" w:hAnsi="Times New Roman"/>
          <w:rtl w:val="0"/>
        </w:rPr>
        <w:t xml:space="preserve">circular reasoning</w:t>
      </w:r>
      <w:r w:rsidDel="00000000" w:rsidR="00000000" w:rsidRPr="00000000">
        <w:rPr>
          <w:rFonts w:ascii="Times New Roman" w:cs="Times New Roman" w:eastAsia="Times New Roman" w:hAnsi="Times New Roman"/>
          <w:rtl w:val="0"/>
        </w:rPr>
        <w:t xml:space="preserve">—searching for evidence to validate preexisting beliefs regarding what it means to be male or female.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rtl w:val="0"/>
        </w:rPr>
        <w:t xml:space="preserve">Both explicitly discourage such approaches.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Jennifer Smith (2011) instead advocates for a reading practice that transcends the gender of what she calls “transgendered” (p. 414) characters. She proposes “a trans-reading identity,” which she defines as “a trans-formative exchange between the text and reader, wherein both work upon each other in a dynamic and complex revaluation of literary, cultural, and political discourses that foregrounds the transgender subject” (Smith, 2011, p. 430).</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pStyle w:val="Heading2"/>
        <w:spacing w:after="0" w:before="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CRITICAL MISREADINGS AND GENRE CATEGORIZATION</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Despite clear authorial statements and textual evidence supporting gender ambiguity, numerous critics and reviewers persist in assigning gender to characters—often with significant interpretive consequences. In the case of Brezenoff’s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Brooklyn, Burning</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the author explicitly states in an interview that “My second YA novel is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Brooklyn, Burning</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and is a love story without gender” (Lanik &amp; Brezenoff, 2014). Nevertheless, reviewer Hannah Doermann (2011) mischaracterizes the text, describing it as a story about homosexuality and thereby gendering the otherwise ungendered characters, Kid and Scout, while also categorizing their relationship. Similarly, Cai Reyes (2013), in her review of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The Lover’s Dictionary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genders the male narrator’s love interest, labeling the book a heterosexual love story: “The narrator, who is a guy based on the entries, is a writer while the girl seemed like an untamed, whimsical and quirky character who seems to have charmed our narrator” (Reyes, 2013). In failing to recognize the love interest’s epicene gender, she concludes that the only notable feature of the story lies in its dictionary-entry format. A comparable reading appears in Norah Piehl’s (2012) review, which also assumes the couple to be heterosexual. These examples demonstrate a recurring critical tendency to transform what is intentionally ambiguous into something familiar and conventionally recognizable.</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Stephanie (2011) candidly admits that she initially misread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The Lover’s Dictionary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as a same-sex love story, influenced by the fact that Levithan is openly gay and often writes about same-sex desire. Unlike other reviewers, however, she later recognizes her interpretive error and observes that many others have “defaulted [it] to a male/female heterosexual relationship” (Stephanie, 2011). She remarks, “It’s a touch saddening to </w:t>
      </w:r>
      <w:r w:rsidDel="00000000" w:rsidR="00000000" w:rsidRPr="00000000">
        <w:rPr>
          <w:rFonts w:ascii="Times New Roman" w:cs="Times New Roman" w:eastAsia="Times New Roman" w:hAnsi="Times New Roman"/>
          <w:rtl w:val="0"/>
        </w:rPr>
        <w:t xml:space="preserve">realize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this, and there’s certainly an opportunity for a dialogue here” (Stephanie, 2011). That dialogue, however, remains foreclosed when characters are prematurely assigned a gender. Stephanie (2011) acknowledges that the story’s distinctiveness lies in its message about the universality of love—one that is lost if readers insist on framing it as a heterosexual romance.</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Monika Fludernik (1999) begins her discussion of the gender-ambiguous first-person narrators in Duffy’s, Garréta’s, and Winterson’s works by asking “how gender issues are (or are not) resolvable in these texts.” Her</w:t>
      </w:r>
      <w:r w:rsidDel="00000000" w:rsidR="00000000" w:rsidRPr="00000000">
        <w:rPr>
          <w:rFonts w:ascii="Times New Roman" w:cs="Times New Roman" w:eastAsia="Times New Roman" w:hAnsi="Times New Roman"/>
          <w:i w:val="0"/>
          <w:iCs w:val="0"/>
          <w:smallCaps w:val="0"/>
          <w:strike w:val="0"/>
          <w:u w:val="none"/>
          <w:vertAlign w:val="baseline"/>
          <w:rtl w:val="0"/>
        </w:rPr>
        <w:t xml:space="preserve"> parenthetical qualifications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“are not” gestures toward the intended uncertainty of gender. Yet in the following section, this uncertainty disappears when she titles it “the disguised male narrator” (Fludernik, 1999). This interpretive shift—grounded in supposed male gender markers that Fludernik believes the text supplies—illustrates a problematic reading practice. Fludernik (1999) also proposes a taxonomy of features by which the gender of an ungendered character might be inferred. Such categorization risks being counterproductive, as it reinforces stereotypical interpretive habits and potentially reduces the complex exercise of writing ungendered characters—meant to challenge gender binaries—into a mere puzzle. It perpetuates the mistaken belief that a character’s behavior is inherently gendered and can reliably serve to assign gender labels to ambiguous figures.</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Livia (2001) likewise classifies ungendered narratives into three reductive categories based on storyline and presumed character gender: (1) lesbian love stories, (2) transsexual novels, and (3) detective fiction. She claims, “Winterson is not the first to tell a tale of homosexual love in which gender markers have been obscured, as we have seen with Garréta’s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Sphinx</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(Livia, 2001, p. 80). This reading erroneously suggests that both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Written on the Body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and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Sphinx</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are same-sex love stories, thereby contradicting the texts’ deliberate gender ambiguity.</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Ironically, in the same work, Livia (2001) also notes critics’ obsession with decoding the gender of ungendered characters. Analyzing approximately thirty reviews of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Sphinx</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published in newspapers and magazines, she concludes that nearly all attempt to guess the genders of the narrator and A*** while speculating about the reasons for maintaining ambiguity. In “Written on the Body: A Novel Not Written on Paper,” Özmen (2011) clarifies that </w:t>
      </w:r>
      <w:r w:rsidDel="00000000" w:rsidR="00000000" w:rsidRPr="00000000">
        <w:rPr>
          <w:rFonts w:ascii="Times New Roman" w:cs="Times New Roman" w:eastAsia="Times New Roman" w:hAnsi="Times New Roman"/>
          <w:rtl w:val="0"/>
        </w:rPr>
        <w:t xml:space="preserve">Winterson intends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to convey that identities exist along a spectrum rather than within rigid categories, and therefore cannot be confined to binary classifications.</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A more perceptive approach is evident in Sasha Kay’s (2011) review of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Brooklyn Burning</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Responding to the </w:t>
      </w:r>
      <w:r w:rsidDel="00000000" w:rsidR="00000000" w:rsidRPr="00000000">
        <w:rPr>
          <w:rFonts w:ascii="Times New Roman" w:cs="Times New Roman" w:eastAsia="Times New Roman" w:hAnsi="Times New Roman"/>
          <w:rtl w:val="0"/>
        </w:rPr>
        <w:t xml:space="preserve">question,</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“Is Kid a boy or a girl?” (Kay, 2011), she writes: “I still don’t know the answer to that question, but I think that’s what the author was intending. We, the reader, don’t know who or what Kid is because I don’t think Kid does either” (Kay, 2011). Kay (2011) recognizes that Brezenoff’s story addresses identity formation and acknowledges that some parents, like Kid’s, fail to understand their children’s self-conceptions. It is therefore unsurprising that readers and critics struggle similarly—unable to grasp that not everyone wishes to label their gender identity, and that some may find comfort and authenticity in ambiguity or fluidity.</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pStyle w:val="Heading2"/>
        <w:spacing w:after="0" w:before="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AUTHOR IDENTITY AND GENRE EXPECTATIONS</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Works featuring ungendered characters, when written by openly lesbian authors, are often read as expressions of lesbian desire, regardless of textual evidence. Kauer (1998) and Duncker (1998), for example, classify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Written on the Body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as a lesbian narrative by presuming the genderless narrator to be female. </w:t>
      </w:r>
      <w:r w:rsidDel="00000000" w:rsidR="00000000" w:rsidRPr="00000000">
        <w:rPr>
          <w:rFonts w:ascii="Times New Roman" w:cs="Times New Roman" w:eastAsia="Times New Roman" w:hAnsi="Times New Roman"/>
          <w:rtl w:val="0"/>
        </w:rPr>
        <w:t xml:space="preserve">Conversely, Zita Farkas (2016) interrogates this classification, inquiring about the criteria that substantiate designating the novel as lesbian fiction.</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She turns to Paulina Palmer’s (2005) argument that a text may be identified as lesbian fiction if the author identifies as lesbian, if the work features lesbian characters, or if it is primarily addressed to a lesbian audience. </w:t>
      </w:r>
      <w:r w:rsidDel="00000000" w:rsidR="00000000" w:rsidRPr="00000000">
        <w:rPr>
          <w:rFonts w:ascii="Times New Roman" w:cs="Times New Roman" w:eastAsia="Times New Roman" w:hAnsi="Times New Roman"/>
          <w:rtl w:val="0"/>
        </w:rPr>
        <w:t xml:space="preserve">As Farkas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(2016) demonstrates, the very category of “lesbian fiction” is therefore unstable and open to contestation.</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Jago Morrison (2006) examines critical responses to Winterson’s works, noting the author’s frustration at being repeatedly misinterpreted through the label “lesbian feminist writer,” a categorization that inevitably shapes how her texts are read. Jennifer J. Gustar (2005) recalls that debates over the generic classification of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Written on the Body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arose in 1993 during the deliberations of the Lambda Literary Award judges. The controversy centered on whether it was legitimate to designate a novel with an ungendered narrator as lesbian fiction solely because its author identifies as lesbian. Similarly, Monica Purich (2010), in “Writing, Translating, and Dismembering: Fallon, Winterson, and Wittig’s Representations of the Lesbian Body,” assumes that Winterson’s novel qualifies as a lesbian narrative, arguing that “in order for a text to classify as a lesbian narrative, it is not absolutely vital that it directly address lesbian concerns or blatantly identify a character as lesbian. It is not necessary, for example, to label characters in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Written on the Body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as lesbian” (Purich, 2010, p. 8).</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Kwangsoon Kim (2010) identifies two dominant interpretive frameworks applied to texts with ungendered narrators. The first assumes a female narrator and thereby reads the work as lesbian fiction; the second presumes a male narrator, construing the text as “a suspicious text colluding with patriarchal and heterosexual values” (Kim, 2010, p. 1294). Rejecting both, Kim (2010) argues that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Written on the Body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resists gender assignment altogether and should instead be read as “a queer text which interrogates, troubles, and subverts the heterosexual concepts of narrative, desire, and body” (Kim, 2010, p. 1294).</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Gustar (2005) and Berry (2007) both highlight a crucial issue: by assigning a female identity to the ungendered narrator, critics overlook the text’s challenge to gender essentialism and the broader critique such narratives mount. They further reveal how normative assumptions can infiltrate even feminist criticism. Gustar (2005) observes that “the failure of these critics to acknowledge this marks a lacuna in some feminist criticism—an apparent incapacity to </w:t>
      </w:r>
      <w:r w:rsidDel="00000000" w:rsidR="00000000" w:rsidRPr="00000000">
        <w:rPr>
          <w:rFonts w:ascii="Times New Roman" w:cs="Times New Roman" w:eastAsia="Times New Roman" w:hAnsi="Times New Roman"/>
          <w:rtl w:val="0"/>
        </w:rPr>
        <w:t xml:space="preserve">recognize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the contestatory power of the decidedly queer politic that informs Winterson’s fiction” (p. 27). Similarly, Berry (2007) describes Winterson’s work as “a plea for recognition of the value of paradox, indeterminacy, and other strategies of a negative aesthetic. Such recognition might well be a means of confronting our own feminist non-knowledge, of facing our (not always feminist) desires in </w:t>
      </w:r>
      <w:r w:rsidDel="00000000" w:rsidR="00000000" w:rsidRPr="00000000">
        <w:rPr>
          <w:rFonts w:ascii="Times New Roman" w:cs="Times New Roman" w:eastAsia="Times New Roman" w:hAnsi="Times New Roman"/>
          <w:i w:val="0"/>
          <w:iCs w:val="0"/>
          <w:smallCaps w:val="0"/>
          <w:strike w:val="0"/>
          <w:u w:val="none"/>
          <w:vertAlign w:val="baseline"/>
          <w:rtl w:val="0"/>
        </w:rPr>
        <w:t xml:space="preserve">the</w:t>
      </w:r>
      <w:r w:rsidDel="00000000" w:rsidR="00000000" w:rsidRPr="00000000">
        <w:rPr>
          <w:rFonts w:ascii="Times New Roman" w:cs="Times New Roman" w:eastAsia="Times New Roman" w:hAnsi="Times New Roman"/>
          <w:i w:val="0"/>
          <w:iCs w:val="0"/>
          <w:smallCaps w:val="0"/>
          <w:strike w:val="0"/>
          <w:u w:val="none"/>
          <w:vertAlign w:val="baseline"/>
          <w:rtl w:val="0"/>
        </w:rPr>
        <w:t xml:space="preserve"> face of limit texts.</w:t>
      </w:r>
      <w:r w:rsidDel="00000000" w:rsidR="00000000" w:rsidRPr="00000000">
        <w:rPr>
          <w:rFonts w:ascii="Times New Roman" w:cs="Times New Roman" w:eastAsia="Times New Roman" w:hAnsi="Times New Roman"/>
          <w:i w:val="0"/>
          <w:iCs w:val="0"/>
          <w:smallCaps w:val="0"/>
          <w:strike w:val="0"/>
          <w:u w:val="none"/>
          <w:vertAlign w:val="baseline"/>
          <w:rtl w:val="0"/>
        </w:rPr>
        <w:t xml:space="preserve">” </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These observations suggest that ungendered narratives not only disrupt heteronormative assumptions but also expose the boundaries and blind spots within feminist literary criticism itself.</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LANGUAGE, GENDER, AND NARRATIVE INNOVATION</w:t>
      </w:r>
    </w:p>
    <w:p w:rsidR="00000000" w:rsidDel="00000000" w:rsidP="00000000" w:rsidRDefault="00000000" w:rsidRPr="00000000" w14:paraId="0000005D">
      <w:pPr>
        <w:rPr>
          <w:b w:val="1"/>
          <w:bCs w:val="1"/>
        </w:rPr>
      </w:pPr>
      <w:r w:rsidDel="00000000" w:rsidR="00000000" w:rsidRPr="00000000">
        <w:rPr>
          <w:rtl w:val="0"/>
        </w:rPr>
      </w:r>
    </w:p>
    <w:p w:rsidR="00000000" w:rsidDel="00000000" w:rsidP="00000000" w:rsidRDefault="00000000" w:rsidRPr="00000000" w14:paraId="0000005E">
      <w:pPr>
        <w:pStyle w:val="Heading3"/>
        <w:spacing w:after="0" w:before="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LANGUAGE AS INSTRUMENT AND CONSTRAINT</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Language plays a fundamental role in the creation of ungendered narratives and in heightening readers’ awareness of the limitations embedded within existing linguistic systems. In “Reading Contemporary Narratives as Revolutionaries: Radical Textuality and Queer Subjectivity in the Works of Monique Wittig, Anne F. Garréta and Nina Bouraoui,” Kristina Kosnick (2011) observes that language serves as a medium for challenging societal constructions of “sexuality, eroticism and gender” (p. xiii). She characterizes the authors of such works as “revolutionaries” and their writing as “experimental” (p. 1). Through their literary production, these writers reject language that is predominantly “male-engendered, male-constituted, and male-dominated” (Abrams &amp; Harpham, 2009, p. 114), thereby creating pathways toward inclusive and gender-neutral</w:t>
      </w:r>
      <w:r w:rsidDel="00000000" w:rsidR="00000000" w:rsidRPr="00000000">
        <w:rPr>
          <w:rFonts w:ascii="Times New Roman" w:cs="Times New Roman" w:eastAsia="Times New Roman" w:hAnsi="Times New Roman"/>
          <w:rtl w:val="0"/>
        </w:rPr>
        <w:t xml:space="preserve"> linguistic systems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rtl w:val="0"/>
        </w:rPr>
        <w:t xml:space="preserve">Kosnick (2011) cites Garréta's Sphinx, saying that Garréta changes language by systematically removing gender from it using different stylistic techniques.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She eliminates tenses, adjectives, and other grammatical markers that would otherwise reveal gender in French. The outcome of such experimentation is a text in which characters’ genders remain indeterminate and readers are denied definitive information. Kosnick (2011) argues that language functions not merely as a tool of restriction and constraint but also as an instrument of empowerment that opens new perspectives on society and subjectivity. Through such linguistic innovation, Garréta and other writers challenge the heteronormative frameworks that structure language, narrative, and worldview.</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Gill Rye (2000) similarly conceptualizes language as a double-edged instrument, capable of both constructing and deconstructing sexual identity. Its deconstructive potential becomes particularly evident in ungendered narratives, where linguistic strategies are deliberately employed to keep characters’ gender identities concealed.</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pStyle w:val="Heading3"/>
        <w:spacing w:after="0" w:before="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PRONOUN INNOVATION AND EPICENE LANGUAGE</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In English, pronouns serve as explicit markers of gender. The gendered nature of these pronouns, coupled with the absence of a universally accepted gender-neutral alternative, presents unique challenges—most notably in June Arnold’s work. To address this linguistic gap, Arnold coined the epicene pronouns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na</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and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nan</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in order “to conceal the sex of the characters, thereby challenging readers to rethink their assumptions about sex-roles” (Keener, 1982, p. 308). Keener (1982) observes that such narrative experimentation once constituted a significant trend in lesbian literature, and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The Cook and the Carpenter</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was widely admired for </w:t>
      </w:r>
      <w:r w:rsidDel="00000000" w:rsidR="00000000" w:rsidRPr="00000000">
        <w:rPr>
          <w:rFonts w:ascii="Times New Roman" w:cs="Times New Roman" w:eastAsia="Times New Roman" w:hAnsi="Times New Roman"/>
          <w:rtl w:val="0"/>
        </w:rPr>
        <w:t xml:space="preserve">its innovative approach</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Nancy M. Henley (1987) notes that Arnold sought to introduce “alternative pronoun systems” (p. 13) to counteract the sexism embedded in English. Henley (1987) also raises essential questions about linguistic reform: “why it wants a new language, why it has a right to demand a new language, what stands in the way to the new language, and what is being done and can be done to achieve it” (p. 3).</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rtl w:val="0"/>
        </w:rPr>
        <w:t xml:space="preserve">In her work "Language, Gender, and Sexuality," Mary Bucholtz (2004) details numerous historical efforts aimed at eliminating sexist language and supporting feminist goals by replacing the generic terms "he" and "man" with gender-neutral alternatives.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Bucholtz (2004) expresses concern that, despite broad awareness of nonsexist language use, most people continue to ignore it in everyday communication. She criticizes linguists for perpetuating sexist language even in scholarly writing and questions why attempts to reform language are often dismissed rather than appreciated.</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The need for a nonsexist pronominal system is further emphasized by Wendy Martyna (1980) in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“Beyond the ‘He/Man’ Approach: The Case for Nonsexist Language.”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Martyna (1980) argues that sexist language and discriminatory behavior in daily life are interconnected, contending that “sexist language has </w:t>
      </w:r>
      <w:r w:rsidDel="00000000" w:rsidR="00000000" w:rsidRPr="00000000">
        <w:rPr>
          <w:rFonts w:ascii="Times New Roman" w:cs="Times New Roman" w:eastAsia="Times New Roman" w:hAnsi="Times New Roman"/>
          <w:rtl w:val="0"/>
        </w:rPr>
        <w:t xml:space="preserve">behavioral</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implications and leads to cognitive confusion due to the ambiguity and exclusion that can stem from the use of the generic masculine.” Empirical evidence, she notes, supports the inherent ambiguity of masculine pronouns, even in supposedly generic contexts. She cites court cases involving misgendering as evidence of the tangible harm such ambiguity produces. Martyna (1980) concludes that theoretical and empirical studies alone cannot reform language; change requires integration of nonsexist practices into everyday usage. In this sense, literary works that adopt gender-neutral pronouns serve as powerful mediators between theory and practice, bringing linguistic innovation into public consciousness.</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rtl w:val="0"/>
        </w:rPr>
        <w:t xml:space="preserve">In "Foreign l(Anguish), Mother Tongue: Concepts of Language in Contemporary Feminist Science Fiction," Annegret J. Wiemer (1987) looks at feminist science fiction, such as The Cook and the Carpenter.</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She focuses on how feminist writers deconstruct “the vexing pseudo-generic ‘he’/‘man’” (p. 168), highlighting Arnold’s inventive use of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na</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and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nan</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Citing Gilbert and Gubar, Wiemer (1987) concludes that through such pronominal creativity, “feminist science fiction writers indeed claim ‘the alphabet to capitalise [on] their own initials and their own initiatives’” (p. 171). She further argues that confronting and dismantling patriarchal linguistic traditions represents “the crucial task of future feminist criticism” (p. 171).</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In “Discursive Strategies for Social Change: An Alternative Rhetoric of Argument,” Julia M. Allen and Lester Faigley (1995) describe “new pronoun constructions” (p. 147) as one of several strategies linguists and writers use to transform patriarchal language. They note the urgency of reforming gender-biased pronouns because “pronouns are the most direct representation of the subject, [and] a change in pronoun will necessarily affect the cultural construction and expectations of the subject” (Allen &amp; Faigley, 1995, p. 147). However, as Finke cautions, coined pronouns rarely enter everyday usage because “pronouns belong to that part of the language which is the most conservative, the most resistant to change” (as cited in Allen &amp; Faigley, 1995, p. 148). Despite this resistance, Allen and Faigley (1995) argue that Arnold’s pronominal inventions, though not widely adopted, succeeded in introducing new ideas about the determination of subjectivity (p. 148).</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pStyle w:val="Heading2"/>
        <w:spacing w:after="0" w:before="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REVIEWING UNGENDERED NARRATIVES: THE PRONOUN DILEMMA</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For critics reviewing ungendered narratives, additional complications arise regarding pronoun choice, given the absence of universally accepted gender-neutral options. Catie Nematome (2011), in her review of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Brooklyn, Burning</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alternates between male and female pronouns when referring to Kid: “He’s somehow retained a large measure of youthful innocence, hope, and earnestness while dealing with her parents’ abandonment and struggling to survive as a homeless teen in Brooklyn. She’s supported by a motley and damaged group of characters that love and understand him” (Nematome, 2011, emphasis added). Through this deliberate alternation, Nematome (2011) conveys uncertainty about Kid’s gender while avoiding definitive categorization. This strategy represents one possible critical response to ungendered characterization—an attempt to respect the text’s ambiguity while simultaneously revealing the linguistic limitations that constrain critical discourse itself.</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TRANSLATION AND CROSS-LINGUISTIC CHALLENGES</w:t>
      </w:r>
    </w:p>
    <w:p w:rsidR="00000000" w:rsidDel="00000000" w:rsidP="00000000" w:rsidRDefault="00000000" w:rsidRPr="00000000" w14:paraId="00000072">
      <w:pPr>
        <w:rPr>
          <w:b w:val="1"/>
          <w:bCs w:val="1"/>
        </w:rPr>
      </w:pPr>
      <w:r w:rsidDel="00000000" w:rsidR="00000000" w:rsidRPr="00000000">
        <w:rPr>
          <w:rtl w:val="0"/>
        </w:rPr>
      </w:r>
    </w:p>
    <w:p w:rsidR="00000000" w:rsidDel="00000000" w:rsidP="00000000" w:rsidRDefault="00000000" w:rsidRPr="00000000" w14:paraId="00000073">
      <w:pPr>
        <w:pStyle w:val="Heading3"/>
        <w:spacing w:after="0" w:before="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TRANSLATING GENDER AMBIGUITY ACROSS LINGUISTIC SYSTEMS</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Anne Garréta’s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Sphinx</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originally written in French and later translated into English, presents distinctive challenges that go beyond those typically encountered in translation. Translating an ungendered narrative is as complex—if not more so—than composing one, as numerous scholars have observed. Schabert (2010) notes that translation becomes particularly difficult when a text’s characters are ungendered, since translators must navigate the inherently gendered structure of language. </w:t>
      </w:r>
      <w:r w:rsidDel="00000000" w:rsidR="00000000" w:rsidRPr="00000000">
        <w:rPr>
          <w:rFonts w:ascii="Times New Roman" w:cs="Times New Roman" w:eastAsia="Times New Roman" w:hAnsi="Times New Roman"/>
          <w:rtl w:val="0"/>
        </w:rPr>
        <w:t xml:space="preserve">How</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gender is expressed and marked </w:t>
      </w:r>
      <w:r w:rsidDel="00000000" w:rsidR="00000000" w:rsidRPr="00000000">
        <w:rPr>
          <w:rFonts w:ascii="Times New Roman" w:cs="Times New Roman" w:eastAsia="Times New Roman" w:hAnsi="Times New Roman"/>
          <w:rtl w:val="0"/>
        </w:rPr>
        <w:t xml:space="preserve">differs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significantly between French and English. Aaron (2015) observes that the “French language, in which words contain grammatical gender, poses its own set of unique challenges.” </w:t>
      </w:r>
      <w:r w:rsidDel="00000000" w:rsidR="00000000" w:rsidRPr="00000000">
        <w:rPr>
          <w:rFonts w:ascii="Times New Roman" w:cs="Times New Roman" w:eastAsia="Times New Roman" w:hAnsi="Times New Roman"/>
          <w:rtl w:val="0"/>
        </w:rPr>
        <w:t xml:space="preserve">As a result, the strategies needed for translation vary greatly from one language to another.</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While all translation seeks to preserve meaning and tone, Schabert (2010) emphasizes that translating an ungendered narrative carries an additional burden: the translator must preserve the deliberate gender ambiguity even when the target language resists such neutrality. This process </w:t>
      </w:r>
      <w:r w:rsidDel="00000000" w:rsidR="00000000" w:rsidRPr="00000000">
        <w:rPr>
          <w:rFonts w:ascii="Times New Roman" w:cs="Times New Roman" w:eastAsia="Times New Roman" w:hAnsi="Times New Roman"/>
          <w:rtl w:val="0"/>
        </w:rPr>
        <w:t xml:space="preserve">necessitates a meticulous balance between maintaining linguistic fidelity and maintaining</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conceptual integrity.</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Anna Livia (2003), in “‘One Man in Two is a Woman’: Linguistic Approaches to Gender in Literary Texts,” discusses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Sphinx</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translator Emma Ramadan as a case study in how translation mediates both language and ideology. Because French and English differ in their systems of gender marking, Ramadan had to devise alternative strategies to sustain the original’s ambiguity. Her English translation, Aaron (2015) writes, is “a tour de force,” overcoming the grammatical constraints of </w:t>
      </w:r>
      <w:r w:rsidDel="00000000" w:rsidR="00000000" w:rsidRPr="00000000">
        <w:rPr>
          <w:rFonts w:ascii="Times New Roman" w:cs="Times New Roman" w:eastAsia="Times New Roman" w:hAnsi="Times New Roman"/>
          <w:rtl w:val="0"/>
        </w:rPr>
        <w:t xml:space="preserve">both </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French and English. Like Garréta, Ramadan “forces readers out of the safety of their comfort zones” (Aaron, 2015), compelling them to reconsider the excessive emphasis placed on gender</w:t>
      </w:r>
      <w:r w:rsidDel="00000000" w:rsidR="00000000" w:rsidRPr="00000000">
        <w:rPr>
          <w:rFonts w:ascii="Times New Roman" w:cs="Times New Roman" w:eastAsia="Times New Roman" w:hAnsi="Times New Roman"/>
          <w:rtl w:val="0"/>
        </w:rPr>
        <w:t xml:space="preserve"> in language and society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pStyle w:val="Heading3"/>
        <w:spacing w:after="0" w:before="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GRAMMATICAL GENDER AND TRANSLATION STRATEGIES</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Margaux Fonjallaz (2015) examines the challenges of translating David Levithan’s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The Lover’s Dictionary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into French, with a focus on how to retain the novel’s essential gender neutrality. Her study of Pierre Demarty’s 2012 French translation explores how the text’s stylistic and structural elements change—or remain stable—across linguistic systems. Fonjallaz’s (2015) findings reveal that translation difficulties vary depending on the direction of translation: </w:t>
      </w:r>
      <w:r w:rsidDel="00000000" w:rsidR="00000000" w:rsidRPr="00000000">
        <w:rPr>
          <w:rFonts w:ascii="Times New Roman" w:cs="Times New Roman" w:eastAsia="Times New Roman" w:hAnsi="Times New Roman"/>
          <w:rtl w:val="0"/>
        </w:rPr>
        <w:t xml:space="preserve">Moving</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from a less grammatically gendered language</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rtl w:val="0"/>
        </w:rPr>
        <w:t xml:space="preserve">such as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English</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to a more gendered one, </w:t>
      </w:r>
      <w:r w:rsidDel="00000000" w:rsidR="00000000" w:rsidRPr="00000000">
        <w:rPr>
          <w:rFonts w:ascii="Times New Roman" w:cs="Times New Roman" w:eastAsia="Times New Roman" w:hAnsi="Times New Roman"/>
          <w:rtl w:val="0"/>
        </w:rPr>
        <w:t xml:space="preserve">like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French, presents different constraints than the reverse.</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The cumulative insight from these discussions is that ungendered narratives—whether considered in terms of their linguistic experimentation, narrative design, or reading experience—have far-reaching implications for how gender itself is conceptualized. Such narratives construct fictional worlds in which binary gender categories become irrelevant or obsolete, thereby unsettling the cultural foundations of gender. As Mihan (2012) notes, they challenge “the very foundations” of gender (p. 19). Stowers (2005) similarly </w:t>
      </w:r>
      <w:r w:rsidDel="00000000" w:rsidR="00000000" w:rsidRPr="00000000">
        <w:rPr>
          <w:rFonts w:ascii="Times New Roman" w:cs="Times New Roman" w:eastAsia="Times New Roman" w:hAnsi="Times New Roman"/>
          <w:rtl w:val="0"/>
        </w:rPr>
        <w:t xml:space="preserve">asks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rtl w:val="0"/>
        </w:rPr>
        <w:t xml:space="preserve">“What</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happens if the very mark of sex is lost?” </w:t>
      </w:r>
      <w:r w:rsidDel="00000000" w:rsidR="00000000" w:rsidRPr="00000000">
        <w:rPr>
          <w:rFonts w:ascii="Times New Roman" w:cs="Times New Roman" w:eastAsia="Times New Roman" w:hAnsi="Times New Roman"/>
          <w:rtl w:val="0"/>
        </w:rPr>
        <w:t xml:space="preserve">(p. 152), characterizing ungendered narratives as “the most radical attempt to escape from both sex and gender” (Stowers, 2005, pp. 152–153).</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The “Delusions of Gender Project” (Folman et al., 2013) further develops this idea, citing Heinz’s claim that, like race, gender must be </w:t>
      </w:r>
      <w:r w:rsidDel="00000000" w:rsidR="00000000" w:rsidRPr="00000000">
        <w:rPr>
          <w:rFonts w:ascii="Times New Roman" w:cs="Times New Roman" w:eastAsia="Times New Roman" w:hAnsi="Times New Roman"/>
          <w:rtl w:val="0"/>
        </w:rPr>
        <w:t xml:space="preserve">“recognizing,</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reconsidering, [and] re-evaluating” (as cited in Folman et al., 2013, p. 42). Gene Kemp’s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The Turbulent Term of Tyke Tiler</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exemplifies such re-evaluation. Kerry Mallan (2009) argues that the novel “serves as a useful marker for thinking about gender and, in particular, the dilemmas that surround gender and sexuality” (p. 1). Similarly, in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Twentieth-Century Children’s Writers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Mary Cadogan (1983) describes Kemp’s work as a “truly innovatory” book that “gives new dimensions to the day-school </w:t>
      </w:r>
      <w:r w:rsidDel="00000000" w:rsidR="00000000" w:rsidRPr="00000000">
        <w:rPr>
          <w:rFonts w:ascii="Times New Roman" w:cs="Times New Roman" w:eastAsia="Times New Roman" w:hAnsi="Times New Roman"/>
          <w:rtl w:val="0"/>
        </w:rPr>
        <w:t xml:space="preserve">story and</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[is] an authoritative boost to feminism” (pp. 425–426). Collectively, these assessments position ungendered narratives as vital interventions in contemporary cultural dialogues about gender, identity, and representation.</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INTERPRETIVE POSSIBILITIES AND THEORETICAL FRAMEWORKS</w:t>
      </w:r>
    </w:p>
    <w:p w:rsidR="00000000" w:rsidDel="00000000" w:rsidP="00000000" w:rsidRDefault="00000000" w:rsidRPr="00000000" w14:paraId="00000080">
      <w:pPr>
        <w:rPr>
          <w:b w:val="1"/>
          <w:bCs w:val="1"/>
        </w:rPr>
      </w:pPr>
      <w:r w:rsidDel="00000000" w:rsidR="00000000" w:rsidRPr="00000000">
        <w:rPr>
          <w:rtl w:val="0"/>
        </w:rPr>
      </w:r>
    </w:p>
    <w:p w:rsidR="00000000" w:rsidDel="00000000" w:rsidP="00000000" w:rsidRDefault="00000000" w:rsidRPr="00000000" w14:paraId="00000081">
      <w:pPr>
        <w:pStyle w:val="Heading3"/>
        <w:spacing w:after="0" w:before="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BEYOND BINARY: MULTIPLICITY OF GENDER IDENTITIES</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Are ungendered characters truly devoid of gender, or do they function as metaphors underscoring the insignificance of fixed gender identity? Tara Cheesman (2015) argues that it is inaccurate to view the main characters in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Sphinx</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as being without gender. On the contrary, Garréta creates both the narrator and A*** as figures who “simultaneously encompass all possible variations of gender and gender identity—which some might say amounts almost to the same thing . . . but not quite” (Cheesman, 2015). This distinction is crucial: there is a significant difference between identifying with no gender and embodying multiple genders or gender possibilities. </w:t>
      </w:r>
      <w:r w:rsidDel="00000000" w:rsidR="00000000" w:rsidRPr="00000000">
        <w:rPr>
          <w:rFonts w:ascii="Times New Roman" w:cs="Times New Roman" w:eastAsia="Times New Roman" w:hAnsi="Times New Roman"/>
          <w:rtl w:val="0"/>
        </w:rPr>
        <w:t xml:space="preserve">Consequently, the characters in Sphinx facilitate various interpretive possibilities—they may identify as one of several genders, embody multiple genders concurrently, or exist entirely beyond the gender spectrum.</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This theoretical framework expands the interpretive scope of ungendered narratives beyond simple binary oppositions.</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Heather Nunn (1996) similarly observes that Jeanette Winterson, in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Written on the Body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avoids gendered pronouns not merely to prevent a default masculine reading but to construct a genderfluid narrator. She notes that the narrator sometimes occupies masculine roles and at other times adopts feminine ones, thereby “troubl[ing] this binary divide and arguably proliferat[ing] it to the point where it no longer makes sense” (Nunn, 1996, p. 20). As Nunn (1996) elaborates, “In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Written on the Body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the feminine and the masculine, the male and the female, the ‘being’ and the ‘having’ the phallus are not mutually exclusive but a range of crossable identificatory positions, and that which worries and beseeches at the borders of all identities is brought to the fore” (p. 26). Nunn’s reading suggests that ungendered characters do not simply lack gender; they actively perform multiple gender positions, destabilizing the very idea of a fixed or stable gender identity.</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Özge Yakut (2011) interprets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Written on the Body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through the lens of gender performativity and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l’écriture féminine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She concludes that Winterson’s work demonstrates that gender and sexuality are not rigid structures but fluid, culturally shaped formations. Yakut (2011) argues that Winterson disrupts contemporary discourses of sexual binarism by creating a fluid, genderless narrator, thereby exposing the futility of binary thinking. This interpretation situates ungendered narratives as literary enactments of Judith Butler’s theory of gender performativity, giving narrative embodiment to abstract philosophical concepts.</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7">
      <w:pPr>
        <w:pStyle w:val="Heading3"/>
        <w:spacing w:after="0" w:before="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AUTHOR IDENTITY AND CRITICAL RECEPTION</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rtl w:val="0"/>
        </w:rPr>
        <w:t xml:space="preserve">While Winterson's earlier works received widespread acclaim, Brian Finney (2000) notes that Written on the Body faced unusually harsh criticism.</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He contends that this reaction was not due to the novel’s literary quality but rather to Winterson’s lesbian identity, which many homophobic British critics found intolerable. Paradoxically, lesbian critics also censured Winterson for refusing to write an “openly lesbian work” and for concealing the narrator’s gender, thus metaphorically keeping her “in the closet.” Cath Stowers (2005) responds to these critiques by asserting that the ungendered narrator is, in fact, a lesbian woman, since “s/he . . . fulfills distinctly lesbian aims” (p. 153). This debate highlights the complex politics surrounding ungendered narratives, illustrating how critical reception can be shaped by the author’s identity in ways that may contradict or obscure the text’s own intentions.</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B">
      <w:pPr>
        <w:pStyle w:val="Heading2"/>
        <w:spacing w:after="0" w:before="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THE QUESTION OF NARRATIVE “SUCCESS”</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Tully Barnett (2003) challenges the notion that Winterson’s refusal to “out” the narrator constitutes a narrative failure. She argues that “the success of Winterson’s experiment, then, is something that cannot be judged on the terms that some critics employ. Winterson has certainly succeeded in highlighting just how transitory our perceptions can be, and how much gender identity is a socially constructed and performed event” (Barnett, 2003, p. 44). Barnett (2003) thus reframes the notion of success: the value of ungendered narratives lies not in providing definitive answers but in generating productive questions.</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Jennifer Smith (2011) offers a related but distinct perspective, proposing that the narrator may be understood as transgender. She argues that conceiving of the narrator as transgender—transcending rather than lacking gender—resolves interpretive gaps left by readings that insist on genderlessness. What is noteworthy in Smith’s argument is her refusal of reductive binaries such as girl–boy, boy–boy, or girl–girl, which she regards as inadequate frameworks for apprehending complex gender identities. Her approach opens new interpretive possibilities by treating the text as a space where identity is fluid, multiple, and perpetually in motion.</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0">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CRITICAL DEBATES: EFFICACY AND LIMITATIONS OF UNGENDERED NARRATIVES</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pStyle w:val="Heading3"/>
        <w:spacing w:after="0" w:before="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ARGUMENTS FOR TRANSFORMATIVE POTENTIAL</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Linn Bäckström (2013) argues for the transformative role of ungendered narratives such as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Written on the Body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in challenging heteronormativity. According to Bäckström (2013), the novel aims to challenge the notion of rigid gender binaries. </w:t>
      </w:r>
      <w:r w:rsidDel="00000000" w:rsidR="00000000" w:rsidRPr="00000000">
        <w:rPr>
          <w:rFonts w:ascii="Times New Roman" w:cs="Times New Roman" w:eastAsia="Times New Roman" w:hAnsi="Times New Roman"/>
          <w:rtl w:val="0"/>
        </w:rPr>
        <w:t xml:space="preserve">She emphasizes Winterson's tactical use of stereotypical, gendered behaviors ascribed to the ungendered narrator to deconstruct established notions of gender.</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rtl w:val="0"/>
        </w:rPr>
        <w:t xml:space="preserve">Bäckström (2013) argues that Winterson's story destabilizes heteronormative and heterosexist assumptions by showing how weak institutions like marriage and the biological family are.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She concludes that “through the use of an ungendered narrator . . . the binary division of male/female and heterosexual/homosexual is challenged” (p. 2). </w:t>
      </w:r>
      <w:r w:rsidDel="00000000" w:rsidR="00000000" w:rsidRPr="00000000">
        <w:rPr>
          <w:rFonts w:ascii="Times New Roman" w:cs="Times New Roman" w:eastAsia="Times New Roman" w:hAnsi="Times New Roman"/>
          <w:rtl w:val="0"/>
        </w:rPr>
        <w:t xml:space="preserve">This evaluation regards ungendered narratives as potent tools for ideological critique and possible catalysts for social change.</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pStyle w:val="Heading3"/>
        <w:spacing w:after="0" w:before="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CONCERNS ABOUT DEFAULT MALE READINGS</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In contrast, Maioli (2009) expresses concern that any unspecified or ungendered character risks being read as male, thereby undermining the project of ungendering. “The novel shows that there can be no such a thing as a ‘genderless’ narrator, since ‘ungendered’ ends up coinciding with ‘universal,’ and, in Western culture, it stands for ‘male’” (Maioli, 2009, p. 144). Similarly, Robert Bittner (2016) cautions that characters without assigned genders are frequently interpreted as “white, heterosexual, cisgender and most often male” (p. 210).</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To counteract such default readings, Bittner (2016) suggests that narrative structures must “mock and foreground simplistic assumptions, revealing to readers that (as things currently stand in North American society) nothing can truly ever just be” (p. 210). Pronouns play a crucial role in this process. Bittner (2016) observes that Brezenoff and Kemp avoid pronouns altogether, thereby “queering moments” (p. 209) in textual passages where readers would normally rely on pronouns to infer gender. This critical concern underscores both the limitations and the potential of ungendered narratives</w:t>
      </w:r>
      <w:r w:rsidDel="00000000" w:rsidR="00000000" w:rsidRPr="00000000">
        <w:rPr>
          <w:rFonts w:ascii="Times New Roman" w:cs="Times New Roman" w:eastAsia="Times New Roman" w:hAnsi="Times New Roman"/>
          <w:rtl w:val="0"/>
        </w:rPr>
        <w:t xml:space="preserve">. While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they risk reinforcing dominant norms through interpretive default, they can also subvert those norms through deliberate linguistic and structural strategies.</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B">
      <w:pPr>
        <w:pStyle w:val="Heading3"/>
        <w:spacing w:after="0" w:before="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AUTHORIAL INTENT AND READER REALIZATION</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Özmen (2011) poses two central questions: “Why does the narrator, or Jeanette Winterson, not want the reader to know him/her?” and “Why does Winterson deliberately withhold information which is considered to be crucial for a protagonist?” (p. 6). She concludes that Winterson’s defiant act of ungendering functions as a protest against “a label which is a production of the patriarchal discourse” (p. 6). Özmen (2011) argues that, despite our sexual or gender differences, fundamental human emotions—joy, melancholy, romance, death, separation, loss, rejection, and grief—remain universal. Regardless of a character’s gender identity or expression, the emotional and experiential core remains unchanged. These experiences cannot be categorized or delimited by gender. It is not gender or sexuality that “makes us who we are” (Özmen, 2011, p. 6). The ungendered narrative thus invites readers to resist allowing transient identities such as gender to dominate human subjectivity and the interpretation of experience.</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F">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CONCLUSION</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This review of critical scholarship on ungendered narratives reveals several key insights. First, ungendered narratives represent a significant literary innovation that challenges heteronormative assumptions, disrupts gender binaries, and opens new possibilities for narrative representation. Critics have emphasized their capacity to transform reader consciousness by compelling active engagement with questions of gender and identity.</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Second, the critical reception of these works exposes persistent tensions between authorial intention and reader interpretation. Despite authors’ explicit efforts to preserve gender ambiguity, many critics and reviewers continue to assign gender to characters—often </w:t>
      </w:r>
      <w:r w:rsidDel="00000000" w:rsidR="00000000" w:rsidRPr="00000000">
        <w:rPr>
          <w:rFonts w:ascii="Times New Roman" w:cs="Times New Roman" w:eastAsia="Times New Roman" w:hAnsi="Times New Roman"/>
          <w:rtl w:val="0"/>
        </w:rPr>
        <w:t xml:space="preserve">based on</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author identity, perceived textual cues, or normative assumptions about unmarked categories. This tendency illustrates both the radical potential of ungendered narratives and the difficulty of reading against ingrained habits of gender attribution.</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Third, language emerges as both a constraint and a tool in crafting ungendered narratives. </w:t>
      </w:r>
      <w:r w:rsidDel="00000000" w:rsidR="00000000" w:rsidRPr="00000000">
        <w:rPr>
          <w:rFonts w:ascii="Times New Roman" w:cs="Times New Roman" w:eastAsia="Times New Roman" w:hAnsi="Times New Roman"/>
          <w:rtl w:val="0"/>
        </w:rPr>
        <w:t xml:space="preserve">The gendered characteristics of many languages, particularly the pronominal systems in English and French, present difficulties for authors, translators, and critics.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Experimental efforts to introduce epicene pronouns have spurred theoretical discussion but achieved limited practical adoption, underscoring the conservative nature of linguistic evolution.</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Fourth, ungendered narratives hold pedagogical promise. Critical scholarship suggests that exposing young readers to gender-ambiguous characters can challenge stereotypes, broaden conceptions of identity, and foster inclusivity in learning environments. However, effective curricular integration requires thoughtful pedagogical frameworks that support open dialogue about gender diversity rather than foreclose it.</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Finally, debates about the efficacy of ungendered narratives remain unresolved. While some scholars celebrate their transformative potential, others question whether gender ambiguity can truly escape the gravitational pull of patriarchal linguistic and cultural systems. These ongoing debates </w:t>
      </w:r>
      <w:r w:rsidDel="00000000" w:rsidR="00000000" w:rsidRPr="00000000">
        <w:rPr>
          <w:rFonts w:ascii="Times New Roman" w:cs="Times New Roman" w:eastAsia="Times New Roman" w:hAnsi="Times New Roman"/>
          <w:rtl w:val="0"/>
        </w:rPr>
        <w:t xml:space="preserve">demonstrate the value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of sustained critical engagement with ungendered narratives.</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The limited scholarship on this topic represents a significant gap in literary studies. Although existing work </w:t>
      </w:r>
      <w:r w:rsidDel="00000000" w:rsidR="00000000" w:rsidRPr="00000000">
        <w:rPr>
          <w:rFonts w:ascii="Times New Roman" w:cs="Times New Roman" w:eastAsia="Times New Roman" w:hAnsi="Times New Roman"/>
          <w:rtl w:val="0"/>
        </w:rPr>
        <w:t xml:space="preserve">offers advantageous information about</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the mechanics and reception of ungendered texts, much remains unexplored. </w:t>
      </w:r>
      <w:r w:rsidDel="00000000" w:rsidR="00000000" w:rsidRPr="00000000">
        <w:rPr>
          <w:rFonts w:ascii="Times New Roman" w:cs="Times New Roman" w:eastAsia="Times New Roman" w:hAnsi="Times New Roman"/>
          <w:rtl w:val="0"/>
        </w:rPr>
        <w:t xml:space="preserve">Future research could beneficially explore ungendered narratives within a wider array of linguistic and cultural traditions, analyze empirical reader responses, and develop theories regarding the connection between ungendered characters and the evolving perceptions of non-binary, genderfluid, and other post-binary identities in greater depth.</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As cultural conversations about gender continue to evolve, ungendered narratives stand both as historical precedents and as ongoing laboratories for reimagining identity and representation. Their continued production and critical study are essential to understanding the dynamic interplay between language, literature, identity, and social change.</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8">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A9">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AA">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AB">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AC">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AD">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AE">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AF">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0">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1">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2">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3">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4">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5">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6">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7">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8">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9">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A">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B">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C">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D">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E">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F">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C0">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C1">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C2">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C3">
      <w:pPr>
        <w:pStyle w:val="Heading2"/>
        <w:spacing w:after="0" w:before="0" w:lineRule="auto"/>
        <w:jc w:val="left"/>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pStyle w:val="Heading2"/>
        <w:spacing w:after="0" w:before="0" w:lineRule="auto"/>
        <w:jc w:val="left"/>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pStyle w:val="Heading2"/>
        <w:spacing w:after="0" w:before="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REFERENCES</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Aaron. (2015, April 14). To appease is not the same as to fulfill.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Typographical Era</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Abrams, M. H., &amp; Harpham, G. G. (2009).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A glossary of literary terms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(9th ed.). Cengage Learning.</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Alber, J., Iversen, S., Nielsen, H. S., &amp; Richardson, B. (2012). Unnatural voices, minds, and narration. In J. Bray, A. Gibbons, &amp; B. McHale (Eds.),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The Routledge companion to experimental literature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(1st ed., pp. 351-367). Routledge.</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Allen, J. M., &amp; Faigley, L. (1995). Discursive strategies for social change: An alternative rhetoric of argument.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Rhetoric Review</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14</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(1), 142-172. https://doi.org/10.1080/07350199509389057</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Bäckström, L. (2013, January 8). ‘An identity of one’s own’: A discussion of gender and sexuality in Jeanette Winterson’s Written on the Body.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LUP Student Papers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https://lup.lub.lu.se/student-papers/record/3350236</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Barnett, T. (2003, September). The cyborg and the garden: Aspects of Jeanette Winterson’s techno-curiosity.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Counterpoints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3</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(1), 42-49.</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Berry, E. E. (2007). Suspending gender: The politics of indeterminacy in Jeanette Winterson’s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Written on the Body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Rhizomes: Cultural Studies in Emerging Knowledge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14</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https://www.rhizomes.net/issue14/berry.html</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Bittner, R. (2016). (Im)possibility and (in)visibility: Arguing against ‘just happens to be’ in young adult literature.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Queer Studies in Media &amp; Popular Culture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1</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(2), 199-214. https://doi.org/10.1386/qsmpc.1.2.199_1</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Bucholtz, M. (2004). Language, gender, and sexuality. In E. Finegan &amp; J. R. Rickford (Eds.),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Language in the USA: Themes for the twenty-first century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(pp. 410-429). Cambridge University Press.</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Cadogan, M. (1983). Kemp, Gene. In D. L. Kirkpatrick (Ed.),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Twentieth-century children’s writers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(pp. 425-426). St. Martin’s Press.</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Cheesman, T. (2015, May 26). Sphinx by Anne Garréta, Tr. from the French by Emma Ramadan.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Reader at Large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https://readeratlarge.com/2015/05/26/sphinx-by-anne-garreta-tr-from-the-french-by-emma-ramadan/</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Chromey, J. (2011, September 8). A++ even without the automatic ‘Mats’ mention mark-up.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I Will Dare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https://iwilldare.com/2011/09/a-even-without-the-automatic-mats-mention-mark-up/</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Clarke, C. (2015, June 27). The quarterly conversation.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The Quarterly Conversation</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https://quarterlyconversation.com/the-daring-young-women-on-the-flying-trapeze</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Doermann, H. (2011, October 24). Review: Brooklyn, burning by Steve Brezenoff.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Paperback Treasures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https://paperbacktreasures.blogspot.com/2011/10/review-brooklyn-burning-by-steve.html</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Duncker, P. (1998). Jeanette Winterson and the aftermath of feminism. In H. Grice &amp; T. Woods (Eds.),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‘I’m telling you stories’: Jeanette Winterson and the politics of reading</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(pp. 77-89). Rodopi.</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Farkas, Z. (2016). From image to sign: Queering the ‘lesbian’ in Jeanette Winterson’s academic reception.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Gender Questions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2</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(1), 35-51. https://doi.org/10.25159/2412-8457/1563</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Finney, B. (2000). Bonded by language: Jeanette Winterson’s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Written on the Body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Brian Finney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California State University. http://web.csulb.edu/~bhfinney/winterson.html</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Fludernik, M. (1999). The genderization of narrative. In J. Pier (Ed.),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Recent trends in narratological research</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(pp. 153-175). Presses Universitaires François-Rabelais. https://books.openedition.org/pufr/3958</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Folman, E., Majken, L., &amp; Pagh, J. (2013, December 18). Delusions of gender project.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Roskilde University Research Portal</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Roskilde University. https://rucforsk.ruc.dk/ws/portalfiles/portal/57470148/Final_Project_Report%2C_Delusions_of_Gender.pdf</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Fonjallaz, M. (2015).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Difficultés liées à la traduction de The lover’s dictionary: Enjeux d’un texte au genre multiple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[Master’s thesis, University of Geneva].</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Goodwin, C. (2015, June 29). Sphinx by Anne Garréta.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The Rumpus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https://therumpus.net/2015/06/sphinx-by-anne-garreta/</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Gustar, J. J. (2005, September). The body of romance: Citation and mourning in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Written on the Body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Aesthethika</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2</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(1), 25-41.</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Hayes, J. (2014, May 7). Tyke Tiler by Gene Kemp.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Tygertale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https://tygertale.com/2014/05/07/the-turbulent-term-of-tyke-tiler-by-gene-kemp/</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Henley, N. M. (1987). This new species that seeks a new language: On sexism in language and language change. In J. Penfield (Ed.),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Women and language in transition</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(pp. 3-27). SUNY Press.</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Kauer, U. (1998). Narration and gender: The role of the first-person narrator in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Written on the Body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In H. Grice &amp; T. Woods (Eds.),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‘I’m telling you stories’: Jeanette Winterson and the politics of reading</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(pp. 41-51). Rodopi.</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Kay, S. (2011, September 1). Skaohee’s review of Brooklyn, burning by Steve Brezenoff.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LibraryThing</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https://www.librarything.com/work/11267789/reviews/77629395</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Keener, K. M. (1982). Out of the archives and into the academy: Opportunities for research and publication in lesbian literature.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College English</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44</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(3), 301-313. https://www.jstor.org/stable/377020</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Kim, K. (2010). Queering narrative, desire, and body: Reading of Jeanette Winterson’s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Written on the Body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as a queer text.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Journal of English Language and Literature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56</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(6), 1281-1294. https://doi.org/10.15794/jell.2010.56.6.013</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Kivinen, H. (2016).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Insinuated bodies, corporeal resignification and disembodied desire in novels by Jeanette Winterson</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[Doctoral dissertation, York University]. YorkSpace Institutional Repository. http://hdl.handle.net/10315/32140</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Kosnick, K. (2011). Reading contemporary narratives as revolutionaries: Radical textuality and queer subjectivity in the works of Monique Wittig, Anne F. Garréta and Nina Bouraoui. In M. Hackney &amp; A. Emmitte (Eds.),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Sexuality, eroticism, and gender in French and francophone literature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(pp. 1-16). Cambridge Scholars Publishing.</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Lanik, L. K., &amp; Brezenoff, S. (2014, June 23). Steve Brezenoff author interview + giveaway.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Book Snob</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https://booksnob-booksnob.blogspot.com/2014/06/steve-brezenoff-author-interview.html</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Lanser, S. S. (2018, June 27). Queering narrative voice.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Textual Practice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32</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(6), 923-937. https://doi.org/10.1080/0950236x.2018.1486540</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Livia, A. (2003). ‘One man in two is a woman’: Linguistic approaches to gender in literary texts. In J. Holmes &amp; M. Meyerhoff (Eds.),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Handbook of language and gender</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(pp. 142-158). Blackwell.</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Livia, A. (2001).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Pronoun envy: Literary uses of linguistic gender</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Oxford University Press.</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Maioli, F. (2009). Palimpsests: The female body as a text in Jeanette Winterson’s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Written on the Body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European Journal of Women’s Studies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16</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(2), 143-158. https://doi.org/10.1177/1350506808101763</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Mallan, K. (2009). Introduction: Rethinking gender. In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Gender dilemmas in children’s fiction</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(pp. 1-27). Palgrave Macmillan.</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Martyna, W. (1980). Beyond the ‘he/man’ approach: The case for nonsexist language </w:t>
      </w:r>
      <w:hyperlink w:anchor="nonop1w5bq40">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Abstract</w:t>
        </w:r>
      </w:hyperlink>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Signs: Journal of Women in Culture and Society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5</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(3). https://psycnet.apa.org/record/1981-23579-001</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Méndez, F. C. (2010).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The limitless self: Desire and transgression in Jeanette Winterson’s Oranges are not the only fruit and Written on the Body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[Master’s thesis, Universitat de Barcelona]. http://diposit.ub.edu/dspace/handle/2445/11225</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Mihan, A. (2012).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Undoing difference? Race and gender in selected works by Toni Morrison and Jeanette Winterson</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Universitätsverlag Winter.</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Morrison, J. (2006). ‘Who cares about gender at a time like this?’ Love, sex and the problem of Jeanette Winterson.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Journal of Gender Studies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15</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(2), 169-180. https://doi.org/10.1080/01292980600719957</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Nematome, C. (2011, June 20). Catie’s review of Brooklyn, burning.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Goodreads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https://www.goodreads.com/review/show/178168733</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Nunn, H. (1996).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Written on the Body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An anatomy of horror, melancholy and love.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Women: A Cultural Review</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7</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(1), 16-27. https://doi.org/10.1080/09574049608578255</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Özmen, M. T. (2011, June 8).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Written on the Body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A novel not written on paper.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Academia</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https://www.academia.edu/7345439/Jeanette_Wintersons_Written_on_the_Body</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Palmer, P. (2005). Jeanette Winterson and the lesbian postmodern: Story-telling, performativity and the gay aesthetic. In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The contemporary British novel since 1980</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(pp. 189-199). Palgrave Macmillan.</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Piehl, N. (2012, January 23). The lover’s dictionary by David Levithan.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Bookreporter</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https://www.bookreporter.com/reviews/the-lovers-dictionary</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Purich, M. (2010).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Writing, translating, and dismembering: Fallon, Winterson, and Wittig’s representations of the lesbian body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[Master’s thesis, Youngstown State University]. OhioLINK Electronic Theses and Dissertations Center. http://rave.ohiolink.edu/etdc/view?acc_num=ysu1277413109</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Reyes, C. (2013, April 12). Book review: The lover’s dictionary by David Levithan.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This Little Life of Mine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https://thelassbehindthepen.blogspot.com/2013/04/book-review-lovers-dictionary-by-david.html</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Richardson, B. (2006).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Unnatural voices: Extreme narration in modern and contemporary fiction</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Ohio State University Press.</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Richardson, M. R. (2008). Traversing the feminine: The reclamation of women’s ‘immense bodily territories’ in Jeanette Winterson’s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Written on the Body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and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The Passion</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Postgraduate English: A Journal and Forum for Postgraduates in English</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17</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Rye, G. (2000). Uncertain readings and meaningful dialogue: Language and sexual identity in Anne Garréta’s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Sphinx</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and Tahar Ben Jelloun’s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L’enfant de sable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and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La Nuit sacrée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Neophilologus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84</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(4), 531-540. https://doi.org/10.1023/A:1004736113247</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Schabert, I. (2010). Translation trouble: Gender indeterminacy in English novels and their French versions.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Translation and Literature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19</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(1), 72-92. https://doi.org/10.3366/e0968136109000776</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Smith, J. A. (2011). ‘We shall pass imperceptibly through every barrier’: Reading Jeanette Winterson’s trans-formative romance.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Critique: Studies in Contemporary Fiction</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52</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(4), 412-433. https://doi.org/10.1080/00111610903468363</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Stephanie. (2011, May 4). Review: The lover’s dictionary by David Levithan.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Read in a Single Sitting</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https://www.readinasinglesitting.com/review-the-lovers-dictionary-by-david-levithan/</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Stockwell, S. (1974). Four by Daughters, Inc.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Off Our Backs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4</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(3), 14. https://www.jstor.org/stable/25783778</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Stowers, C. (2005). Journeying with Jeanette: Transgressive travels in Winterson’s fiction. In M. Maynard &amp; J. Purvis (Eds.),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(Hetero) sexual politics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(pp. 141-161). Taylor &amp; Francis.</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Taylor, J. (2015, July 15). Book review: Anne Garréta’s Sphinx - A compelling story of genderless love.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The Arts Fuse</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https://artsfuse.org/130855/fuse-book-review-anne-garretas-sphinx-a-compelling-story-of-genderless-love/</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Toma, T. (2015).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Fluid identities and gendered intimacies: The indeterminate narrator in Jeanette Winterson’s Written on the Body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[Master’s thesis, Universitat Autònoma de Barcelona]. UAB Digital Repository. http://ddd.uab.cat/record/137843</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Wiemer, A. J. (1987). Foreign l(anguish), mother tongue: Concepts of language in contemporary feminist science fiction.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Women’s Studies</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14</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(2), 163-173. https://doi.org/10.1080/00497878.1987.9978694</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i w:val="0"/>
          <w:iCs w:val="0"/>
          <w:smallCaps w:val="0"/>
          <w:strike w:val="0"/>
          <w:u w:val="none"/>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Yakut, Ö. (2011). </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Sexuality and gender in Jeanette Winterson’s two novels: Oranges are not the only fruit and Written on the Body</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 [Master’s thesis, Middle East Technical University]. Middle East Technical University Library. </w:t>
      </w:r>
      <w:hyperlink r:id="rId9">
        <w:r w:rsidDel="00000000" w:rsidR="00000000" w:rsidRPr="00000000">
          <w:rPr>
            <w:rFonts w:ascii="Times New Roman" w:cs="Times New Roman" w:eastAsia="Times New Roman" w:hAnsi="Times New Roman"/>
            <w:i w:val="0"/>
            <w:iCs w:val="0"/>
            <w:smallCaps w:val="0"/>
            <w:strike w:val="0"/>
            <w:color w:val="1155cc"/>
            <w:u w:val="single"/>
            <w:shd w:fill="auto" w:val="clear"/>
            <w:vertAlign w:val="baseline"/>
            <w:rtl w:val="0"/>
          </w:rPr>
          <w:t xml:space="preserve">http://etd.lib.metu.edu.tr/upload/12612922/index.pdf</w:t>
        </w:r>
      </w:hyperlink>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2">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3">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4">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5">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6">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7">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8">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9">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A">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B">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C">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D">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E">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F">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20">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21">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22">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23">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ABOUT THE AUTHORS</w:t>
      </w:r>
    </w:p>
    <w:p w:rsidR="00000000" w:rsidDel="00000000" w:rsidP="00000000" w:rsidRDefault="00000000" w:rsidRPr="00000000" w14:paraId="00000124">
      <w:pPr>
        <w:spacing w:after="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Khuman Bhagirath Jetubhai is an Assistant Professor at the Thapar Institute of Engineering &amp; Technology, India. He obtained his PhD from Visvesvaraya National Institute of Technology, Nagpur, in 2021, specialising in ungendered narratives. His current research focuses on the representation of gender and sexuality in Indian popular culture. He is also the creator of the self-funded web resource </w:t>
      </w:r>
      <w:hyperlink r:id="rId10">
        <w:r w:rsidDel="00000000" w:rsidR="00000000" w:rsidRPr="00000000">
          <w:rPr>
            <w:rFonts w:ascii="Times New Roman" w:cs="Times New Roman" w:eastAsia="Times New Roman" w:hAnsi="Times New Roman"/>
            <w:i w:val="1"/>
            <w:iCs w:val="1"/>
            <w:color w:val="1155cc"/>
            <w:u w:val="single"/>
            <w:rtl w:val="0"/>
          </w:rPr>
          <w:t xml:space="preserve">lgbtqindiaresource.in</w:t>
        </w:r>
      </w:hyperlink>
      <w:r w:rsidDel="00000000" w:rsidR="00000000" w:rsidRPr="00000000">
        <w:rPr>
          <w:rFonts w:ascii="Times New Roman" w:cs="Times New Roman" w:eastAsia="Times New Roman" w:hAnsi="Times New Roman"/>
          <w:rtl w:val="0"/>
        </w:rPr>
        <w:t xml:space="preserve">, a comprehensive repository of information on the Indian LGBTQ community and its allies. Bhagirath’s preferred pronouns are he/him/his.</w:t>
      </w:r>
    </w:p>
    <w:p w:rsidR="00000000" w:rsidDel="00000000" w:rsidP="00000000" w:rsidRDefault="00000000" w:rsidRPr="00000000" w14:paraId="0000012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Madhumita Ghosal is a</w:t>
      </w:r>
      <w:r w:rsidDel="00000000" w:rsidR="00000000" w:rsidRPr="00000000">
        <w:rPr>
          <w:rFonts w:ascii="Times New Roman" w:cs="Times New Roman" w:eastAsia="Times New Roman" w:hAnsi="Times New Roman"/>
          <w:rtl w:val="0"/>
        </w:rPr>
        <w:t xml:space="preserve"> retired associate professor of English and former head of the Department of Humanities and Social Sciences at the Visvesvaraya National Institute of Technology, Nagpur, India. Her research focuses on English language teaching, linguistics, and Indian English writing. She received the British Council Scholarship for Postgraduate Studies and the King Edward Memorial Scholarship for Advanced Studies in the UK. Her paper received the Best Paper Award at the 14th International Conference on Linguistics and Language Research at Nanyang Technological University.</w:t>
      </w:r>
    </w:p>
    <w:sectPr>
      <w:headerReference r:id="rId11" w:type="default"/>
      <w:pgSz w:h="16838" w:w="11906"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Times New Roman"/>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28">
      <w:pPr>
        <w:spacing w:after="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a Main author</w:t>
      </w:r>
    </w:p>
    <w:p w:rsidR="00000000" w:rsidDel="00000000" w:rsidP="00000000" w:rsidRDefault="00000000" w:rsidRPr="00000000" w14:paraId="00000129">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 Corresponding author</w:t>
      </w:r>
    </w:p>
    <w:p w:rsidR="00000000" w:rsidDel="00000000" w:rsidP="00000000" w:rsidRDefault="00000000" w:rsidRPr="00000000" w14:paraId="0000012A">
      <w:pPr>
        <w:spacing w:after="0" w:lineRule="auto"/>
        <w:rPr>
          <w:rFonts w:ascii="Arial" w:cs="Arial" w:eastAsia="Arial" w:hAnsi="Arial"/>
          <w:sz w:val="20"/>
          <w:szCs w:val="20"/>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4f81bd"/>
      <w:sz w:val="32"/>
      <w:szCs w:val="32"/>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8"/>
      <w:szCs w:val="28"/>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i w:val="1"/>
      <w:iCs w:val="1"/>
      <w:color w:val="4f81bd"/>
      <w:sz w:val="24"/>
      <w:szCs w:val="24"/>
    </w:rPr>
  </w:style>
  <w:style w:type="paragraph" w:styleId="Heading5">
    <w:name w:val="heading 5"/>
    <w:basedOn w:val="Normal"/>
    <w:next w:val="Normal"/>
    <w:pPr>
      <w:keepNext w:val="1"/>
      <w:keepLines w:val="1"/>
      <w:spacing w:after="0" w:before="200" w:lineRule="auto"/>
    </w:pPr>
    <w:rPr>
      <w:rFonts w:ascii="Calibri" w:cs="Calibri" w:eastAsia="Calibri" w:hAnsi="Calibri"/>
      <w:color w:val="4f81bd"/>
      <w:sz w:val="24"/>
      <w:szCs w:val="24"/>
    </w:rPr>
  </w:style>
  <w:style w:type="paragraph" w:styleId="Heading6">
    <w:name w:val="heading 6"/>
    <w:basedOn w:val="Normal"/>
    <w:next w:val="Normal"/>
    <w:pPr>
      <w:keepNext w:val="1"/>
      <w:keepLines w:val="1"/>
      <w:spacing w:after="0" w:before="200" w:lineRule="auto"/>
    </w:pPr>
    <w:rPr>
      <w:rFonts w:ascii="Calibri" w:cs="Calibri" w:eastAsia="Calibri" w:hAnsi="Calibri"/>
      <w:color w:val="4f81bd"/>
      <w:sz w:val="24"/>
      <w:szCs w:val="24"/>
    </w:rPr>
  </w:style>
  <w:style w:type="paragraph" w:styleId="Title">
    <w:name w:val="Title"/>
    <w:basedOn w:val="Normal"/>
    <w:next w:val="Normal"/>
    <w:pPr>
      <w:keepNext w:val="1"/>
      <w:keepLines w:val="1"/>
      <w:spacing w:after="240" w:before="480" w:lineRule="auto"/>
      <w:jc w:val="center"/>
    </w:pPr>
    <w:rPr>
      <w:rFonts w:ascii="Calibri" w:cs="Calibri" w:eastAsia="Calibri" w:hAnsi="Calibri"/>
      <w:b w:val="1"/>
      <w:bCs w:val="1"/>
      <w:color w:val="335b8a"/>
      <w:sz w:val="36"/>
      <w:szCs w:val="36"/>
    </w:rPr>
  </w:style>
  <w:style w:type="paragraph" w:styleId="Subtitle">
    <w:name w:val="Subtitle"/>
    <w:basedOn w:val="Normal"/>
    <w:next w:val="Normal"/>
    <w:pPr>
      <w:keepNext w:val="1"/>
      <w:keepLines w:val="1"/>
      <w:spacing w:after="240" w:before="240" w:lineRule="auto"/>
      <w:jc w:val="center"/>
    </w:pPr>
    <w:rPr>
      <w:rFonts w:ascii="Calibri" w:cs="Calibri" w:eastAsia="Calibri" w:hAnsi="Calibri"/>
      <w:b w:val="1"/>
      <w:bCs w:val="1"/>
      <w:color w:val="335b8a"/>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header" Target="header1.xml"/><Relationship Id="rId10" Type="http://schemas.openxmlformats.org/officeDocument/2006/relationships/hyperlink" Target="http://lgbtqindiaresource.in" TargetMode="External"/><Relationship Id="rId9" Type="http://schemas.openxmlformats.org/officeDocument/2006/relationships/hyperlink" Target="http://etd.lib.metu.edu.tr/upload/12612922/index.pdf"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mailto:khuman.bhagirath@thapar.edu" TargetMode="External"/><Relationship Id="rId8" Type="http://schemas.openxmlformats.org/officeDocument/2006/relationships/hyperlink" Target="mailto:mita_madhu@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