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ECF32" w14:textId="77777777" w:rsidR="00AA148B" w:rsidRPr="00640D42" w:rsidRDefault="00AA148B" w:rsidP="00AA148B">
      <w:pPr>
        <w:pStyle w:val="Heading2"/>
        <w:spacing w:line="360" w:lineRule="auto"/>
        <w:jc w:val="both"/>
        <w:rPr>
          <w:b/>
          <w:bCs/>
          <w:color w:val="auto"/>
          <w:sz w:val="24"/>
          <w:szCs w:val="24"/>
        </w:rPr>
      </w:pPr>
      <w:r w:rsidRPr="00640D42">
        <w:rPr>
          <w:b/>
          <w:bCs/>
          <w:color w:val="auto"/>
          <w:sz w:val="24"/>
          <w:szCs w:val="24"/>
        </w:rPr>
        <w:t>Abstract</w:t>
      </w:r>
    </w:p>
    <w:p w14:paraId="02AFB2DF" w14:textId="692C50C8" w:rsidR="00AA148B" w:rsidRPr="00640D42" w:rsidRDefault="00024D11"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Nigeria was the first African jurisdiction to announce the adoption of the IFRS Sustainability Disclosure Standards, with mandatory application for Public Interest Entities from 1 January 2028.</w:t>
      </w:r>
      <w:r w:rsidR="00AA148B" w:rsidRPr="00640D42">
        <w:rPr>
          <w:rFonts w:ascii="Times New Roman" w:hAnsi="Times New Roman" w:cs="Times New Roman"/>
        </w:rPr>
        <w:t xml:space="preserve"> </w:t>
      </w:r>
      <w:r w:rsidR="00482125" w:rsidRPr="00640D42">
        <w:rPr>
          <w:rFonts w:ascii="Times New Roman" w:hAnsi="Times New Roman" w:cs="Times New Roman"/>
        </w:rPr>
        <w:t>This study analyses the adoption framework through a doctrinal and comparative reading of the Financial Reporting Council’s Roadmap (Amended 2026) and Sustainability Reporting Guideline 1 (SRG1, 2026) against Kenya and South Africa.</w:t>
      </w:r>
      <w:r w:rsidR="00AA148B" w:rsidRPr="00640D42">
        <w:rPr>
          <w:rFonts w:ascii="Times New Roman" w:hAnsi="Times New Roman" w:cs="Times New Roman"/>
        </w:rPr>
        <w:t xml:space="preserve"> It identifies four defects. </w:t>
      </w:r>
      <w:r w:rsidR="009F2C8E" w:rsidRPr="00640D42">
        <w:rPr>
          <w:rFonts w:ascii="Times New Roman" w:hAnsi="Times New Roman" w:cs="Times New Roman"/>
        </w:rPr>
        <w:t>The phrase “audit committee” appears nowhere in either instrument in a jurisdiction with two such bodies, and sustainability disclosures are instead signed by a member of the management team. While CAMA section 404(2) gives the external auditor’s report a statutory addressee, no instrument identifies who receives the sustainability assurance report.</w:t>
      </w:r>
      <w:r w:rsidR="00AA148B" w:rsidRPr="00640D42">
        <w:rPr>
          <w:rFonts w:ascii="Times New Roman" w:hAnsi="Times New Roman" w:cs="Times New Roman"/>
        </w:rPr>
        <w:t xml:space="preserve"> </w:t>
      </w:r>
      <w:r w:rsidR="009F2C8E" w:rsidRPr="00640D42">
        <w:rPr>
          <w:rFonts w:ascii="Times New Roman" w:hAnsi="Times New Roman" w:cs="Times New Roman"/>
        </w:rPr>
        <w:t xml:space="preserve">The mandatory Readiness Test Assessment requires </w:t>
      </w:r>
      <w:r w:rsidR="00132A9E">
        <w:rPr>
          <w:rFonts w:ascii="Times New Roman" w:hAnsi="Times New Roman" w:cs="Times New Roman"/>
        </w:rPr>
        <w:t>seventeen</w:t>
      </w:r>
      <w:r w:rsidR="009F2C8E" w:rsidRPr="00640D42">
        <w:rPr>
          <w:rFonts w:ascii="Times New Roman" w:hAnsi="Times New Roman" w:cs="Times New Roman"/>
        </w:rPr>
        <w:t xml:space="preserve"> documents and assesses no person, measuring the determinants of change efficacy rather than readiness, as Weiner (2009) defines it.</w:t>
      </w:r>
      <w:r w:rsidR="00AA148B" w:rsidRPr="00640D42">
        <w:rPr>
          <w:rFonts w:ascii="Times New Roman" w:hAnsi="Times New Roman" w:cs="Times New Roman"/>
        </w:rPr>
        <w:t xml:space="preserve"> The Roadmap states that sanctions are not expected at the early stage of adoption, withdrawing enforcement from a mandate in the mandate’s own text</w:t>
      </w:r>
      <w:r w:rsidR="00BE12C2">
        <w:rPr>
          <w:rFonts w:ascii="Times New Roman" w:hAnsi="Times New Roman" w:cs="Times New Roman"/>
        </w:rPr>
        <w:t>; a</w:t>
      </w:r>
      <w:r w:rsidR="00AA148B" w:rsidRPr="00640D42">
        <w:rPr>
          <w:rFonts w:ascii="Times New Roman" w:hAnsi="Times New Roman" w:cs="Times New Roman"/>
        </w:rPr>
        <w:t xml:space="preserve">nd the assurance timetable defers verification of Scope 3 emissions, scenario analysis, and transition plans to the sixth reporting year. </w:t>
      </w:r>
      <w:r w:rsidR="009F2C8E" w:rsidRPr="00640D42">
        <w:rPr>
          <w:rFonts w:ascii="Times New Roman" w:hAnsi="Times New Roman" w:cs="Times New Roman"/>
        </w:rPr>
        <w:t>Each defect is remediable before 2028, and Section 404(7) of CAMA, which permits a company’s articles to extend the statutory audit committee’s functions, supplies a remedy for the first that requires no legislation.</w:t>
      </w:r>
    </w:p>
    <w:p w14:paraId="296DBDD9" w14:textId="503425CF"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Keywords:</w:t>
      </w:r>
      <w:r w:rsidRPr="00640D42">
        <w:rPr>
          <w:rFonts w:ascii="Times New Roman" w:hAnsi="Times New Roman" w:cs="Times New Roman"/>
        </w:rPr>
        <w:t xml:space="preserve"> audit committee; corporate governance; financial materiality; IFRS; ISSB; ISSA 5000; Nigeria; organisational readiness; sustainability assurance</w:t>
      </w:r>
    </w:p>
    <w:p w14:paraId="1D6134DB" w14:textId="77777777" w:rsidR="00AA148B" w:rsidRPr="00640D42" w:rsidRDefault="00AA148B">
      <w:pPr>
        <w:rPr>
          <w:sz w:val="24"/>
          <w:szCs w:val="24"/>
        </w:rPr>
      </w:pPr>
      <w:bookmarkStart w:id="0" w:name="introduction"/>
      <w:r w:rsidRPr="00640D42">
        <w:rPr>
          <w:sz w:val="24"/>
          <w:szCs w:val="24"/>
        </w:rPr>
        <w:br w:type="page"/>
      </w:r>
    </w:p>
    <w:p w14:paraId="453F9A8C" w14:textId="30DCB038" w:rsidR="00AA148B" w:rsidRPr="00640D42" w:rsidRDefault="00AA148B" w:rsidP="00AA148B">
      <w:pPr>
        <w:pStyle w:val="Heading2"/>
        <w:spacing w:line="360" w:lineRule="auto"/>
        <w:jc w:val="both"/>
        <w:rPr>
          <w:b/>
          <w:bCs/>
          <w:color w:val="auto"/>
          <w:sz w:val="24"/>
          <w:szCs w:val="24"/>
        </w:rPr>
      </w:pPr>
      <w:r w:rsidRPr="00640D42">
        <w:rPr>
          <w:b/>
          <w:bCs/>
          <w:color w:val="auto"/>
          <w:sz w:val="24"/>
          <w:szCs w:val="24"/>
        </w:rPr>
        <w:lastRenderedPageBreak/>
        <w:t>1. Introduction</w:t>
      </w:r>
    </w:p>
    <w:p w14:paraId="3418C9B2" w14:textId="39B76ADE" w:rsidR="00AA148B" w:rsidRPr="00640D42" w:rsidRDefault="00AA148B"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 xml:space="preserve">On 8 November 2022, at COP27 in Sharm El-Sheikh, the Financial Reporting Council of Nigeria announced that Nigeria would be an early adopter of the IFRS Sustainability Disclosure Standards. It was the first African jurisdiction to do so. The Roadmap that followed, launched </w:t>
      </w:r>
      <w:r w:rsidR="006E62A1">
        <w:rPr>
          <w:rFonts w:ascii="Times New Roman" w:hAnsi="Times New Roman" w:cs="Times New Roman"/>
        </w:rPr>
        <w:t>on</w:t>
      </w:r>
      <w:r w:rsidRPr="00640D42">
        <w:rPr>
          <w:rFonts w:ascii="Times New Roman" w:hAnsi="Times New Roman" w:cs="Times New Roman"/>
        </w:rPr>
        <w:t xml:space="preserve"> the floor of the Nigerian Exchange on 22 March 2024 and amended in 2026 alongside a new </w:t>
      </w:r>
      <w:r w:rsidR="00CA0958" w:rsidRPr="00640D42">
        <w:rPr>
          <w:rFonts w:ascii="Times New Roman" w:hAnsi="Times New Roman" w:cs="Times New Roman"/>
        </w:rPr>
        <w:t>SRG</w:t>
      </w:r>
      <w:r w:rsidR="006E62A1">
        <w:rPr>
          <w:rFonts w:ascii="Times New Roman" w:hAnsi="Times New Roman" w:cs="Times New Roman"/>
        </w:rPr>
        <w:t xml:space="preserve"> </w:t>
      </w:r>
      <w:r w:rsidRPr="00640D42">
        <w:rPr>
          <w:rFonts w:ascii="Times New Roman" w:hAnsi="Times New Roman" w:cs="Times New Roman"/>
        </w:rPr>
        <w:t>(FRC Nigeria, 2026a), sets a phased path to mandatory reporting for Public Interest Entities from the accounting period beginning on or after 1 January 2028 (FRC Nigeria, 2026b).</w:t>
      </w:r>
    </w:p>
    <w:p w14:paraId="0188420C" w14:textId="66D43C8E"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The timetable is public, the phases are defined, and the standards are not in dispute</w:t>
      </w:r>
      <w:r w:rsidR="006E62A1">
        <w:rPr>
          <w:rFonts w:ascii="Times New Roman" w:hAnsi="Times New Roman" w:cs="Times New Roman"/>
        </w:rPr>
        <w:t xml:space="preserve">; therefore, this </w:t>
      </w:r>
      <w:r w:rsidR="009F2C8E" w:rsidRPr="00640D42">
        <w:rPr>
          <w:rFonts w:ascii="Times New Roman" w:hAnsi="Times New Roman" w:cs="Times New Roman"/>
        </w:rPr>
        <w:t>paper is not about the timetable but about four things the framework does not say and one thing it says that it should not.</w:t>
      </w:r>
    </w:p>
    <w:p w14:paraId="6C520548" w14:textId="51195D84" w:rsidR="00AA148B" w:rsidRPr="00640D42" w:rsidRDefault="00FC0B62" w:rsidP="00AA148B">
      <w:pPr>
        <w:pStyle w:val="BodyText"/>
        <w:spacing w:line="360" w:lineRule="auto"/>
        <w:jc w:val="both"/>
        <w:rPr>
          <w:rFonts w:ascii="Times New Roman" w:hAnsi="Times New Roman" w:cs="Times New Roman"/>
        </w:rPr>
      </w:pPr>
      <w:r w:rsidRPr="00FC0B62">
        <w:rPr>
          <w:rFonts w:ascii="Times New Roman" w:hAnsi="Times New Roman" w:cs="Times New Roman"/>
        </w:rPr>
        <w:t>The four defects concern who oversees the disclosures, how readiness is measured, whether the mandate is enforced, and when the hardest disclosures are assured. Each is developed in Sections 7 to 10</w:t>
      </w:r>
      <w:r w:rsidR="004F7044" w:rsidRPr="00640D42">
        <w:rPr>
          <w:rFonts w:ascii="Times New Roman" w:hAnsi="Times New Roman" w:cs="Times New Roman"/>
        </w:rPr>
        <w:t>.</w:t>
      </w:r>
    </w:p>
    <w:p w14:paraId="21A19A03" w14:textId="7777777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What connects the four is that Nigeria has built a compliance architecture which a well-advised company secretary can satisfy without the company being ready, and whose regulator has said that it does not expect to punish those who fail.</w:t>
      </w:r>
    </w:p>
    <w:p w14:paraId="4F9E2C7F" w14:textId="06D9D20A" w:rsidR="00AA148B" w:rsidRPr="00640D42" w:rsidRDefault="004F7044" w:rsidP="00AA148B">
      <w:pPr>
        <w:pStyle w:val="BodyText"/>
        <w:spacing w:line="360" w:lineRule="auto"/>
        <w:jc w:val="both"/>
        <w:rPr>
          <w:rFonts w:ascii="Times New Roman" w:hAnsi="Times New Roman" w:cs="Times New Roman"/>
        </w:rPr>
      </w:pPr>
      <w:r w:rsidRPr="00640D42">
        <w:rPr>
          <w:rFonts w:ascii="Times New Roman" w:hAnsi="Times New Roman" w:cs="Times New Roman"/>
        </w:rPr>
        <w:t>The remainder of this paper is organised as follows</w:t>
      </w:r>
      <w:r w:rsidR="00B260F6">
        <w:rPr>
          <w:rFonts w:ascii="Times New Roman" w:hAnsi="Times New Roman" w:cs="Times New Roman"/>
        </w:rPr>
        <w:t>:</w:t>
      </w:r>
      <w:r w:rsidR="00AA148B" w:rsidRPr="00640D42">
        <w:rPr>
          <w:rFonts w:ascii="Times New Roman" w:hAnsi="Times New Roman" w:cs="Times New Roman"/>
        </w:rPr>
        <w:t xml:space="preserve"> </w:t>
      </w:r>
      <w:r w:rsidRPr="00640D42">
        <w:rPr>
          <w:rFonts w:ascii="Times New Roman" w:hAnsi="Times New Roman" w:cs="Times New Roman"/>
        </w:rPr>
        <w:t>Sections 2 and 3 review the ISSB standards and the literature on audit committee oversight of non-financial reports.</w:t>
      </w:r>
      <w:r w:rsidR="00AA148B" w:rsidRPr="00640D42">
        <w:rPr>
          <w:rFonts w:ascii="Times New Roman" w:hAnsi="Times New Roman" w:cs="Times New Roman"/>
        </w:rPr>
        <w:t xml:space="preserve"> Section 4 sets out the theoretical framing and Section 5 the method. Section 6 maps Nigeria’s regulatory architecture. Sections 7 to 10 develop the four defects. Section 11 sets Nigeria against Kenya and South Africa. Sections 12 and 13 recommend and conclude.</w:t>
      </w:r>
    </w:p>
    <w:p w14:paraId="4F71EAA3" w14:textId="77777777" w:rsidR="00AA148B" w:rsidRPr="00640D42" w:rsidRDefault="00AA148B" w:rsidP="00AA148B">
      <w:pPr>
        <w:pStyle w:val="Heading2"/>
        <w:spacing w:line="360" w:lineRule="auto"/>
        <w:jc w:val="both"/>
        <w:rPr>
          <w:b/>
          <w:bCs/>
          <w:color w:val="auto"/>
          <w:sz w:val="24"/>
          <w:szCs w:val="24"/>
        </w:rPr>
      </w:pPr>
      <w:bookmarkStart w:id="1" w:name="Xf56319526c39a00240506517dc9ea3532c1654d"/>
      <w:bookmarkEnd w:id="0"/>
      <w:r w:rsidRPr="00640D42">
        <w:rPr>
          <w:b/>
          <w:bCs/>
          <w:color w:val="auto"/>
          <w:sz w:val="24"/>
          <w:szCs w:val="24"/>
        </w:rPr>
        <w:t>2. IFRS S1 and S2: Governance Requirements and African Adoption Patterns</w:t>
      </w:r>
    </w:p>
    <w:p w14:paraId="6043545E" w14:textId="38CEE311" w:rsidR="00AA148B" w:rsidRPr="00640D42" w:rsidRDefault="00AA148B"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The International Sustainability Standards Board</w:t>
      </w:r>
      <w:r w:rsidR="005E75A0" w:rsidRPr="00640D42">
        <w:rPr>
          <w:rFonts w:ascii="Times New Roman" w:hAnsi="Times New Roman" w:cs="Times New Roman"/>
        </w:rPr>
        <w:t xml:space="preserve"> (ISSB)</w:t>
      </w:r>
      <w:r w:rsidRPr="00640D42">
        <w:rPr>
          <w:rFonts w:ascii="Times New Roman" w:hAnsi="Times New Roman" w:cs="Times New Roman"/>
        </w:rPr>
        <w:t xml:space="preserve"> issued IFRS S1 and IFRS S2 on 26 June 2023, effective for annual reporting periods beginning on or after 1 January 2024 (IFRS Foundation, 2023a, 2023b). IFRS S1 sets general requirements for disclosing sustainability-related financial information, organised around four pillars drawn from the Task Force on Climate-related Financial Disclosures: governance, strategy, risk management, and metrics and targets. IFRS S2 applies the same architecture to climate</w:t>
      </w:r>
      <w:r w:rsidR="00F15B8F">
        <w:rPr>
          <w:rFonts w:ascii="Times New Roman" w:hAnsi="Times New Roman" w:cs="Times New Roman"/>
        </w:rPr>
        <w:t xml:space="preserve">, and </w:t>
      </w:r>
      <w:r w:rsidR="0099284D">
        <w:rPr>
          <w:rFonts w:ascii="Times New Roman" w:hAnsi="Times New Roman" w:cs="Times New Roman"/>
        </w:rPr>
        <w:t>adds</w:t>
      </w:r>
      <w:r w:rsidRPr="00640D42">
        <w:rPr>
          <w:rFonts w:ascii="Times New Roman" w:hAnsi="Times New Roman" w:cs="Times New Roman"/>
        </w:rPr>
        <w:t xml:space="preserve"> requirements considerably more demanding than anything Nigerian issuers have previously faced: quantified greenhouse gas emissions across Scopes 1, 2, and 3</w:t>
      </w:r>
      <w:r w:rsidR="00F15B8F">
        <w:rPr>
          <w:rFonts w:ascii="Times New Roman" w:hAnsi="Times New Roman" w:cs="Times New Roman"/>
        </w:rPr>
        <w:t xml:space="preserve">; climate resilience </w:t>
      </w:r>
      <w:r w:rsidR="00F15B8F">
        <w:rPr>
          <w:rFonts w:ascii="Times New Roman" w:hAnsi="Times New Roman" w:cs="Times New Roman"/>
        </w:rPr>
        <w:lastRenderedPageBreak/>
        <w:t>assessment through scenario analysis; internal carbon pricing;</w:t>
      </w:r>
      <w:r w:rsidRPr="00640D42">
        <w:rPr>
          <w:rFonts w:ascii="Times New Roman" w:hAnsi="Times New Roman" w:cs="Times New Roman"/>
        </w:rPr>
        <w:t xml:space="preserve"> and, for banks, insurers, and asset managers, disclosure of Scope 3 Category 15 financed emissions.</w:t>
      </w:r>
    </w:p>
    <w:p w14:paraId="1208933C" w14:textId="105BD59B" w:rsidR="00AA148B" w:rsidRPr="00640D42" w:rsidRDefault="00C52892" w:rsidP="00AA148B">
      <w:pPr>
        <w:pStyle w:val="BodyText"/>
        <w:spacing w:line="360" w:lineRule="auto"/>
        <w:jc w:val="both"/>
        <w:rPr>
          <w:rFonts w:ascii="Times New Roman" w:hAnsi="Times New Roman" w:cs="Times New Roman"/>
        </w:rPr>
      </w:pPr>
      <w:r w:rsidRPr="00640D42">
        <w:rPr>
          <w:rFonts w:ascii="Times New Roman" w:hAnsi="Times New Roman" w:cs="Times New Roman"/>
          <w:lang w:val="en-GB"/>
        </w:rPr>
        <w:t xml:space="preserve">Two features of the standards bear on the argument. </w:t>
      </w:r>
      <w:r w:rsidR="001973B8" w:rsidRPr="00640D42">
        <w:rPr>
          <w:rFonts w:ascii="Times New Roman" w:hAnsi="Times New Roman" w:cs="Times New Roman"/>
        </w:rPr>
        <w:t>First, the governance pillar is not a soft requirement</w:t>
      </w:r>
      <w:r w:rsidR="0099284D">
        <w:rPr>
          <w:rFonts w:ascii="Times New Roman" w:hAnsi="Times New Roman" w:cs="Times New Roman"/>
        </w:rPr>
        <w:t>. As</w:t>
      </w:r>
      <w:r w:rsidR="001973B8" w:rsidRPr="00640D42">
        <w:rPr>
          <w:rFonts w:ascii="Times New Roman" w:hAnsi="Times New Roman" w:cs="Times New Roman"/>
        </w:rPr>
        <w:t xml:space="preserve"> the FRC’s own Roadmap states, disclosures must identify the governance body responsible for overseeing sustainability-related risks and opportunities and explain how that role is incorporated into company policies and procedures (FRC Nigeria, 2026b, §7.2).</w:t>
      </w:r>
      <w:r w:rsidR="00AA148B" w:rsidRPr="00640D42">
        <w:rPr>
          <w:rFonts w:ascii="Times New Roman" w:hAnsi="Times New Roman" w:cs="Times New Roman"/>
        </w:rPr>
        <w:t xml:space="preserve"> </w:t>
      </w:r>
      <w:r w:rsidR="00DE0DCE" w:rsidRPr="00640D42">
        <w:rPr>
          <w:rFonts w:ascii="Times New Roman" w:hAnsi="Times New Roman" w:cs="Times New Roman"/>
        </w:rPr>
        <w:t xml:space="preserve">The standard does not </w:t>
      </w:r>
      <w:r w:rsidR="0099284D">
        <w:rPr>
          <w:rFonts w:ascii="Times New Roman" w:hAnsi="Times New Roman" w:cs="Times New Roman"/>
        </w:rPr>
        <w:t>specify which body is responsible, but it requires</w:t>
      </w:r>
      <w:r w:rsidR="00DE0DCE" w:rsidRPr="00640D42">
        <w:rPr>
          <w:rFonts w:ascii="Times New Roman" w:hAnsi="Times New Roman" w:cs="Times New Roman"/>
        </w:rPr>
        <w:t xml:space="preserve"> the entity to identify one and provide evidence of the assignment.</w:t>
      </w:r>
      <w:r w:rsidR="001973B8" w:rsidRPr="00640D42">
        <w:rPr>
          <w:rFonts w:ascii="Times New Roman" w:hAnsi="Times New Roman" w:cs="Times New Roman"/>
        </w:rPr>
        <w:t xml:space="preserve"> </w:t>
      </w:r>
      <w:r w:rsidR="00DE0DCE" w:rsidRPr="00640D42">
        <w:rPr>
          <w:rFonts w:ascii="Times New Roman" w:hAnsi="Times New Roman" w:cs="Times New Roman"/>
        </w:rPr>
        <w:t>This is what turns an unallocated oversight mandate from an internal governance question into a disclosure that the entity cannot make.</w:t>
      </w:r>
      <w:r w:rsidR="00AA148B" w:rsidRPr="00640D42">
        <w:rPr>
          <w:rFonts w:ascii="Times New Roman" w:hAnsi="Times New Roman" w:cs="Times New Roman"/>
        </w:rPr>
        <w:t xml:space="preserve"> </w:t>
      </w:r>
      <w:r w:rsidR="001973B8" w:rsidRPr="00640D42">
        <w:rPr>
          <w:rFonts w:ascii="Times New Roman" w:hAnsi="Times New Roman" w:cs="Times New Roman"/>
        </w:rPr>
        <w:t>Second, the standards presume an assurance pathway because the disclosures are investor-facing, financially material, and quantified, and their credibility rests on independent verification rather than on the act of disclosure (Simnett et al., 2009; Kolk &amp; Perego, 2010).</w:t>
      </w:r>
    </w:p>
    <w:p w14:paraId="6E052CA7" w14:textId="3C12EB48"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Adoption across Africa has been uneven and mostly voluntary. Boolaky, Tawiah, and Soobaroyen (2020), examining all 54 African countries between 2010 and 2015, find that coercive, mimetic, and normative isomorphism each drive standards adoption on the continent, and identify the professional accounting organisation as the decisive normative channel. </w:t>
      </w:r>
      <w:r w:rsidR="00DE0DCE" w:rsidRPr="00640D42">
        <w:rPr>
          <w:rFonts w:ascii="Times New Roman" w:hAnsi="Times New Roman" w:cs="Times New Roman"/>
        </w:rPr>
        <w:t>The regional pattern bears this out: in Kenya, the professional body led; in Nigeria, the statutory regulator did; and in South Africa, the exchange has led without a mandate at all.</w:t>
      </w:r>
    </w:p>
    <w:p w14:paraId="578EE3EC" w14:textId="51D1F401" w:rsidR="00AA148B" w:rsidRPr="00640D42" w:rsidRDefault="00DE0DCE" w:rsidP="00AA148B">
      <w:pPr>
        <w:pStyle w:val="BodyText"/>
        <w:spacing w:line="360" w:lineRule="auto"/>
        <w:jc w:val="both"/>
        <w:rPr>
          <w:rFonts w:ascii="Times New Roman" w:hAnsi="Times New Roman" w:cs="Times New Roman"/>
        </w:rPr>
      </w:pPr>
      <w:r w:rsidRPr="00640D42">
        <w:rPr>
          <w:rFonts w:ascii="Times New Roman" w:hAnsi="Times New Roman" w:cs="Times New Roman"/>
        </w:rPr>
        <w:t>However, a mandate does not produce uniform compliance.</w:t>
      </w:r>
      <w:r w:rsidR="00AA148B" w:rsidRPr="00640D42">
        <w:rPr>
          <w:rFonts w:ascii="Times New Roman" w:hAnsi="Times New Roman" w:cs="Times New Roman"/>
        </w:rPr>
        <w:t xml:space="preserve"> Bova and Pereira (2012), studying Kenya, document heterogeneous compliance following mandatory IFRS adoption in a market with open capital markets and limited enforcement resources, attributing the variation to firm-level incentives rather than to the standards. Appiah, Awunyo-Vitor, Mireku, and Ahiagbah (2016) report comparable dispersion in Ghana. Christensen, Hail, and Leuz (2021) conclude that reporting mandates deliver their intended effects only where enforcement capacity and firm-level incentives support them. That conclusion is the analytical spine of this paper, and Section 9 shows that Nigeria’s regulator has removed the condition on which it depends.</w:t>
      </w:r>
    </w:p>
    <w:p w14:paraId="420A5BDD" w14:textId="77777777" w:rsidR="00AA148B" w:rsidRPr="00640D42" w:rsidRDefault="00AA148B" w:rsidP="00AA148B">
      <w:pPr>
        <w:pStyle w:val="Heading2"/>
        <w:spacing w:line="360" w:lineRule="auto"/>
        <w:jc w:val="both"/>
        <w:rPr>
          <w:b/>
          <w:bCs/>
          <w:color w:val="auto"/>
          <w:sz w:val="24"/>
          <w:szCs w:val="24"/>
        </w:rPr>
      </w:pPr>
      <w:bookmarkStart w:id="2" w:name="Xb8730f47061f10bd540c86daff598847645817f"/>
      <w:bookmarkEnd w:id="1"/>
      <w:r w:rsidRPr="00640D42">
        <w:rPr>
          <w:b/>
          <w:bCs/>
          <w:color w:val="auto"/>
          <w:sz w:val="24"/>
          <w:szCs w:val="24"/>
        </w:rPr>
        <w:t>3. Audit Committees and the Oversight of Non-Financial Reporting</w:t>
      </w:r>
    </w:p>
    <w:p w14:paraId="2272F1FF" w14:textId="77777777" w:rsidR="00AA148B" w:rsidRPr="00640D42" w:rsidRDefault="00AA148B"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The audit committee is the governance body on which the ISSB transition rests in most jurisdictions, and a substantial literature establishes why.</w:t>
      </w:r>
    </w:p>
    <w:p w14:paraId="2EBA8CC5" w14:textId="61CAF7A0"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lastRenderedPageBreak/>
        <w:t xml:space="preserve">Al-Shaer and Zaman (2018) find audit committee characteristics associated with the credibility of sustainability reports rather than merely with their existence, which is the property that matters for investor-facing disclosure. </w:t>
      </w:r>
      <w:r w:rsidR="00DE0DCE" w:rsidRPr="00640D42">
        <w:rPr>
          <w:rFonts w:ascii="Times New Roman" w:hAnsi="Times New Roman" w:cs="Times New Roman"/>
        </w:rPr>
        <w:t xml:space="preserve">Dwekat, Meqbel, Seguí-Mas, and Tormo-Carbó (2022) studied STOXX Europe 600 constituents and </w:t>
      </w:r>
      <w:r w:rsidR="0099284D">
        <w:rPr>
          <w:rFonts w:ascii="Times New Roman" w:hAnsi="Times New Roman" w:cs="Times New Roman"/>
        </w:rPr>
        <w:t>more precisely isolated the mechanism: active audit committees are positively associated with the scope of corporate social responsibility assurance; thus, committee diligence shapes not only whether assurance is obtained but also how far it extends</w:t>
      </w:r>
      <w:r w:rsidR="00DE0DCE" w:rsidRPr="00640D42">
        <w:rPr>
          <w:rFonts w:ascii="Times New Roman" w:hAnsi="Times New Roman" w:cs="Times New Roman"/>
        </w:rPr>
        <w:t>.</w:t>
      </w:r>
      <w:r w:rsidRPr="00640D42">
        <w:rPr>
          <w:rFonts w:ascii="Times New Roman" w:hAnsi="Times New Roman" w:cs="Times New Roman"/>
        </w:rPr>
        <w:t xml:space="preserve"> </w:t>
      </w:r>
      <w:r w:rsidR="00DE0DCE" w:rsidRPr="00640D42">
        <w:rPr>
          <w:rFonts w:ascii="Times New Roman" w:hAnsi="Times New Roman" w:cs="Times New Roman"/>
        </w:rPr>
        <w:t>Pozzoli, Pagani, and Paolone (2022) and Sahu, Mishra, Alahdal, and Sami (2025) report positive associations between audit committee independence</w:t>
      </w:r>
      <w:r w:rsidR="0099284D">
        <w:rPr>
          <w:rFonts w:ascii="Times New Roman" w:hAnsi="Times New Roman" w:cs="Times New Roman"/>
        </w:rPr>
        <w:t xml:space="preserve"> and expertise</w:t>
      </w:r>
      <w:r w:rsidR="00DE0DCE" w:rsidRPr="00640D42">
        <w:rPr>
          <w:rFonts w:ascii="Times New Roman" w:hAnsi="Times New Roman" w:cs="Times New Roman"/>
        </w:rPr>
        <w:t xml:space="preserve"> and ESG performance in European and international samples.</w:t>
      </w:r>
    </w:p>
    <w:p w14:paraId="45B71FD5" w14:textId="4C9969B5" w:rsidR="00AA148B" w:rsidRPr="00640D42" w:rsidRDefault="007111C8" w:rsidP="00AA148B">
      <w:pPr>
        <w:pStyle w:val="BodyText"/>
        <w:spacing w:line="360" w:lineRule="auto"/>
        <w:jc w:val="both"/>
        <w:rPr>
          <w:rFonts w:ascii="Times New Roman" w:hAnsi="Times New Roman" w:cs="Times New Roman"/>
        </w:rPr>
      </w:pPr>
      <w:r w:rsidRPr="00640D42">
        <w:rPr>
          <w:rFonts w:ascii="Times New Roman" w:hAnsi="Times New Roman" w:cs="Times New Roman"/>
        </w:rPr>
        <w:t>The literature also identifies these limits</w:t>
      </w:r>
      <w:r w:rsidR="00510734">
        <w:rPr>
          <w:rFonts w:ascii="Times New Roman" w:hAnsi="Times New Roman" w:cs="Times New Roman"/>
        </w:rPr>
        <w:t>:</w:t>
      </w:r>
      <w:r w:rsidR="00AA148B" w:rsidRPr="00640D42">
        <w:rPr>
          <w:rFonts w:ascii="Times New Roman" w:hAnsi="Times New Roman" w:cs="Times New Roman"/>
        </w:rPr>
        <w:t xml:space="preserve"> </w:t>
      </w:r>
      <w:r w:rsidR="00DE0DCE" w:rsidRPr="00145DEA">
        <w:rPr>
          <w:rFonts w:ascii="Times New Roman" w:hAnsi="Times New Roman" w:cs="Times New Roman"/>
          <w:b/>
          <w:bCs/>
        </w:rPr>
        <w:t>Financial expertise does not automatically translate into sustainability competence</w:t>
      </w:r>
      <w:r w:rsidR="00DE0DCE" w:rsidRPr="00640D42">
        <w:rPr>
          <w:rFonts w:ascii="Times New Roman" w:hAnsi="Times New Roman" w:cs="Times New Roman"/>
        </w:rPr>
        <w:t>.</w:t>
      </w:r>
      <w:r w:rsidR="00AA148B" w:rsidRPr="00640D42">
        <w:rPr>
          <w:rFonts w:ascii="Times New Roman" w:hAnsi="Times New Roman" w:cs="Times New Roman"/>
        </w:rPr>
        <w:t xml:space="preserve"> </w:t>
      </w:r>
      <w:r w:rsidRPr="00640D42">
        <w:rPr>
          <w:rFonts w:ascii="Times New Roman" w:hAnsi="Times New Roman" w:cs="Times New Roman"/>
        </w:rPr>
        <w:t>Yorke, Donkor, and Appiagyei (2023), examining US-listed firms from 2010 to 2021, find that the gender composition of audit committee financial expertise conditions its effect on sustainability performance and that single-gender financial expertise is detrimental to it.</w:t>
      </w:r>
      <w:r w:rsidR="00AA148B" w:rsidRPr="00640D42">
        <w:rPr>
          <w:rFonts w:ascii="Times New Roman" w:hAnsi="Times New Roman" w:cs="Times New Roman"/>
        </w:rPr>
        <w:t xml:space="preserve"> </w:t>
      </w:r>
      <w:r w:rsidRPr="00640D42">
        <w:rPr>
          <w:rFonts w:ascii="Times New Roman" w:hAnsi="Times New Roman" w:cs="Times New Roman"/>
        </w:rPr>
        <w:t>The general caution is that a financially literate audit committee is not, by itself, a capable sustainability oversight body.</w:t>
      </w:r>
    </w:p>
    <w:p w14:paraId="1D4D060C" w14:textId="4F6E8441" w:rsidR="00AA148B" w:rsidRPr="00640D42" w:rsidRDefault="007111C8" w:rsidP="00AA148B">
      <w:pPr>
        <w:pStyle w:val="BodyText"/>
        <w:spacing w:line="360" w:lineRule="auto"/>
        <w:jc w:val="both"/>
        <w:rPr>
          <w:rFonts w:ascii="Times New Roman" w:hAnsi="Times New Roman" w:cs="Times New Roman"/>
        </w:rPr>
      </w:pPr>
      <w:r w:rsidRPr="00640D42">
        <w:rPr>
          <w:rFonts w:ascii="Times New Roman" w:hAnsi="Times New Roman" w:cs="Times New Roman"/>
        </w:rPr>
        <w:t>The Nigerian evidence points in one direction.</w:t>
      </w:r>
      <w:r w:rsidR="00AA148B" w:rsidRPr="00640D42">
        <w:rPr>
          <w:rFonts w:ascii="Times New Roman" w:hAnsi="Times New Roman" w:cs="Times New Roman"/>
        </w:rPr>
        <w:t xml:space="preserve"> </w:t>
      </w:r>
      <w:r w:rsidRPr="00640D42">
        <w:rPr>
          <w:rFonts w:ascii="Times New Roman" w:hAnsi="Times New Roman" w:cs="Times New Roman"/>
        </w:rPr>
        <w:t xml:space="preserve">Erin, Adegboye, and Bamigboye (2022), examining 120 firms listed on the Nigerian Exchange, find that audit committee size, expertise, and meeting frequency are all significantly associated with sustainability reporting quality; their quality scale runs from zero to four, and the top score is awarded only where an audit firm has independently assured the report. </w:t>
      </w:r>
      <w:r w:rsidR="00D36EAE" w:rsidRPr="00640D42">
        <w:rPr>
          <w:rFonts w:ascii="Times New Roman" w:hAnsi="Times New Roman" w:cs="Times New Roman"/>
        </w:rPr>
        <w:t>Thus, assurance is already at the summit of the reporting quality hierarchy in this market.</w:t>
      </w:r>
      <w:r w:rsidR="00AA148B" w:rsidRPr="00640D42">
        <w:rPr>
          <w:rFonts w:ascii="Times New Roman" w:hAnsi="Times New Roman" w:cs="Times New Roman"/>
        </w:rPr>
        <w:t xml:space="preserve"> </w:t>
      </w:r>
      <w:r w:rsidRPr="00640D42">
        <w:rPr>
          <w:rFonts w:ascii="Times New Roman" w:hAnsi="Times New Roman" w:cs="Times New Roman"/>
        </w:rPr>
        <w:t>Oyerogba, Oladele, Kolawole, and Adeyemo (2024) used 190 observations from 19 quoted Nigerian banks and found that institutions with greater board independence and higher audit committee financial expertise produce better sustainability reporting.</w:t>
      </w:r>
      <w:r w:rsidR="00AA148B" w:rsidRPr="00640D42">
        <w:rPr>
          <w:rFonts w:ascii="Times New Roman" w:hAnsi="Times New Roman" w:cs="Times New Roman"/>
        </w:rPr>
        <w:t xml:space="preserve"> </w:t>
      </w:r>
      <w:r w:rsidRPr="00640D42">
        <w:rPr>
          <w:rFonts w:ascii="Times New Roman" w:hAnsi="Times New Roman" w:cs="Times New Roman"/>
        </w:rPr>
        <w:t>Erin, Bamigboye, and Oyewo (2022) established the baseline for Sustainable Development Goal disclosure practices, and Tumwebaze, Bananuka, Kaawaase, Bonareri, and Mutesasira (2022) reported the same relationship in Uganda.</w:t>
      </w:r>
    </w:p>
    <w:p w14:paraId="722F5A03" w14:textId="2116D5C1" w:rsidR="00AA148B" w:rsidRDefault="00D36EAE" w:rsidP="00AA148B">
      <w:pPr>
        <w:pStyle w:val="BodyText"/>
        <w:spacing w:line="360" w:lineRule="auto"/>
        <w:jc w:val="both"/>
        <w:rPr>
          <w:rFonts w:ascii="Times New Roman" w:hAnsi="Times New Roman" w:cs="Times New Roman"/>
        </w:rPr>
      </w:pPr>
      <w:r w:rsidRPr="00640D42">
        <w:rPr>
          <w:rFonts w:ascii="Times New Roman" w:hAnsi="Times New Roman" w:cs="Times New Roman"/>
        </w:rPr>
        <w:t>Each of these studies treats the audit committee as a single, identifiable body</w:t>
      </w:r>
      <w:r w:rsidR="009476D5">
        <w:rPr>
          <w:rFonts w:ascii="Times New Roman" w:hAnsi="Times New Roman" w:cs="Times New Roman"/>
        </w:rPr>
        <w:t>, and this</w:t>
      </w:r>
      <w:r w:rsidRPr="00640D42">
        <w:rPr>
          <w:rFonts w:ascii="Times New Roman" w:hAnsi="Times New Roman" w:cs="Times New Roman"/>
        </w:rPr>
        <w:t xml:space="preserve"> assumption holds in the European, American, and East African settings in which the studies were conducted</w:t>
      </w:r>
      <w:r w:rsidR="00B260F6">
        <w:rPr>
          <w:rFonts w:ascii="Times New Roman" w:hAnsi="Times New Roman" w:cs="Times New Roman"/>
        </w:rPr>
        <w:t xml:space="preserve"> but</w:t>
      </w:r>
      <w:r w:rsidR="00AA148B" w:rsidRPr="00640D42">
        <w:rPr>
          <w:rFonts w:ascii="Times New Roman" w:hAnsi="Times New Roman" w:cs="Times New Roman"/>
        </w:rPr>
        <w:t xml:space="preserve"> does not hold in Nigeria. The literature that establishes the audit committee as the linchpin of sustainability oversight has never had to ask which audit committee, because no comparable jurisdiction has two. And Nigeria’s own regulator, as Section 7 shows, has not asked either.</w:t>
      </w:r>
    </w:p>
    <w:p w14:paraId="777D23C7" w14:textId="0AFEC2CF" w:rsidR="00843857" w:rsidRPr="00640D42" w:rsidRDefault="00843857" w:rsidP="00AA148B">
      <w:pPr>
        <w:pStyle w:val="BodyText"/>
        <w:spacing w:line="360" w:lineRule="auto"/>
        <w:jc w:val="both"/>
        <w:rPr>
          <w:rFonts w:ascii="Times New Roman" w:hAnsi="Times New Roman" w:cs="Times New Roman"/>
        </w:rPr>
      </w:pPr>
      <w:r w:rsidRPr="00843857">
        <w:rPr>
          <w:rFonts w:ascii="Times New Roman" w:hAnsi="Times New Roman" w:cs="Times New Roman"/>
        </w:rPr>
        <w:lastRenderedPageBreak/>
        <w:t>That the defects cluster where remediation is least visible is consistent with institutional isomorphism (DiMaggio &amp; Powell, 1983; Boolaky et al., 2020): Nigeria moved fast where movement is observable and slowly where it depends on professional capability a deadline cannot conjure</w:t>
      </w:r>
      <w:r>
        <w:rPr>
          <w:rFonts w:ascii="Times New Roman" w:hAnsi="Times New Roman" w:cs="Times New Roman"/>
        </w:rPr>
        <w:t>.</w:t>
      </w:r>
    </w:p>
    <w:p w14:paraId="4D5F3BBA" w14:textId="52E931A3" w:rsidR="00AA148B" w:rsidRPr="00640D42" w:rsidRDefault="00CA3481" w:rsidP="00AA148B">
      <w:pPr>
        <w:pStyle w:val="Heading2"/>
        <w:spacing w:line="360" w:lineRule="auto"/>
        <w:jc w:val="both"/>
        <w:rPr>
          <w:b/>
          <w:bCs/>
          <w:color w:val="auto"/>
          <w:sz w:val="24"/>
          <w:szCs w:val="24"/>
        </w:rPr>
      </w:pPr>
      <w:bookmarkStart w:id="3" w:name="method"/>
      <w:bookmarkEnd w:id="2"/>
      <w:r>
        <w:rPr>
          <w:b/>
          <w:bCs/>
          <w:color w:val="auto"/>
          <w:sz w:val="24"/>
          <w:szCs w:val="24"/>
        </w:rPr>
        <w:t>4</w:t>
      </w:r>
      <w:r w:rsidR="00AA148B" w:rsidRPr="00640D42">
        <w:rPr>
          <w:b/>
          <w:bCs/>
          <w:color w:val="auto"/>
          <w:sz w:val="24"/>
          <w:szCs w:val="24"/>
        </w:rPr>
        <w:t>. Method</w:t>
      </w:r>
    </w:p>
    <w:p w14:paraId="59832124" w14:textId="79087AB4" w:rsidR="00AA148B" w:rsidRPr="00640D42" w:rsidRDefault="007C26B3"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This study employs doctrinal and comparative regulatory analyses</w:t>
      </w:r>
      <w:r w:rsidR="00F21695">
        <w:rPr>
          <w:rFonts w:ascii="Times New Roman" w:hAnsi="Times New Roman" w:cs="Times New Roman"/>
        </w:rPr>
        <w:t xml:space="preserve"> and </w:t>
      </w:r>
      <w:r w:rsidRPr="00640D42">
        <w:rPr>
          <w:rFonts w:ascii="Times New Roman" w:hAnsi="Times New Roman" w:cs="Times New Roman"/>
        </w:rPr>
        <w:t>makes no empirical claims about firm behaviour or committee capability and reports no survey or archival data.</w:t>
      </w:r>
    </w:p>
    <w:p w14:paraId="169B425D" w14:textId="08633B62"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Corpus.</w:t>
      </w:r>
      <w:r w:rsidRPr="00640D42">
        <w:rPr>
          <w:rFonts w:ascii="Times New Roman" w:hAnsi="Times New Roman" w:cs="Times New Roman"/>
        </w:rPr>
        <w:t xml:space="preserve"> </w:t>
      </w:r>
      <w:r w:rsidR="00D017FE" w:rsidRPr="00640D42">
        <w:rPr>
          <w:rFonts w:ascii="Times New Roman" w:hAnsi="Times New Roman" w:cs="Times New Roman"/>
        </w:rPr>
        <w:t>Thirteen instruments were considered primary sources.</w:t>
      </w:r>
      <w:r w:rsidRPr="00640D42">
        <w:rPr>
          <w:rFonts w:ascii="Times New Roman" w:hAnsi="Times New Roman" w:cs="Times New Roman"/>
        </w:rPr>
        <w:t xml:space="preserve"> </w:t>
      </w:r>
      <w:r w:rsidR="00D017FE" w:rsidRPr="00640D42">
        <w:rPr>
          <w:rFonts w:ascii="Times New Roman" w:hAnsi="Times New Roman" w:cs="Times New Roman"/>
        </w:rPr>
        <w:t>The Nigerian corpus comprises the FRC’s Roadmap Report (Amended 2026) and SRG1 (2026, effective 16 February 2026); Financial Reporting Council of Nigeria Act 2011 (as amended 2023); Section 404 of the Companies and Allied Matters Act 2020; Nigerian Code of Corporate Governance 2018; Central Bank’s Nigerian Sustainable Banking Principles and implementing circular (2012); Nigerian Exchange’s Sustainability Disclosure Guidelines (2018); and Securities and Exchange Commission’s Guidelines on Sustainable Financial Principles (2021).</w:t>
      </w:r>
      <w:r w:rsidRPr="00640D42">
        <w:rPr>
          <w:rFonts w:ascii="Times New Roman" w:hAnsi="Times New Roman" w:cs="Times New Roman"/>
        </w:rPr>
        <w:t xml:space="preserve"> </w:t>
      </w:r>
      <w:r w:rsidR="00D017FE" w:rsidRPr="00640D42">
        <w:rPr>
          <w:rFonts w:ascii="Times New Roman" w:hAnsi="Times New Roman" w:cs="Times New Roman"/>
        </w:rPr>
        <w:t>The international corpus comprises IFRS S1, IFRS S2 (2023), and ISSA 5000 (2024).</w:t>
      </w:r>
      <w:r w:rsidRPr="00640D42">
        <w:rPr>
          <w:rFonts w:ascii="Times New Roman" w:hAnsi="Times New Roman" w:cs="Times New Roman"/>
        </w:rPr>
        <w:t xml:space="preserve"> </w:t>
      </w:r>
      <w:r w:rsidR="0086760F" w:rsidRPr="00640D42">
        <w:rPr>
          <w:rFonts w:ascii="Times New Roman" w:hAnsi="Times New Roman" w:cs="Times New Roman"/>
        </w:rPr>
        <w:t>The comparator corpus comprises the ICPAK Kenyan adoption roadmap (2023), JSE Sustainability Disclosure Guidance (2022), and King IV Report (2016).</w:t>
      </w:r>
    </w:p>
    <w:p w14:paraId="5D4DACEB" w14:textId="6B33BC16"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The standard applied.</w:t>
      </w:r>
      <w:r w:rsidRPr="00640D42">
        <w:rPr>
          <w:rFonts w:ascii="Times New Roman" w:hAnsi="Times New Roman" w:cs="Times New Roman"/>
        </w:rPr>
        <w:t xml:space="preserve"> </w:t>
      </w:r>
      <w:r w:rsidR="0086760F" w:rsidRPr="00640D42">
        <w:rPr>
          <w:rFonts w:ascii="Times New Roman" w:hAnsi="Times New Roman" w:cs="Times New Roman"/>
        </w:rPr>
        <w:t>A regulatory critique requires a yardstick, and ours is deliberately modest</w:t>
      </w:r>
      <w:r w:rsidR="00CB7FB2">
        <w:rPr>
          <w:rFonts w:ascii="Times New Roman" w:hAnsi="Times New Roman" w:cs="Times New Roman"/>
        </w:rPr>
        <w:t xml:space="preserve"> as w</w:t>
      </w:r>
      <w:r w:rsidR="0086760F" w:rsidRPr="00640D42">
        <w:rPr>
          <w:rFonts w:ascii="Times New Roman" w:hAnsi="Times New Roman" w:cs="Times New Roman"/>
        </w:rPr>
        <w:t>e do not assess the FRC’s framework against investor-protection maximisation or any external theory of what a good regulator should value.</w:t>
      </w:r>
      <w:r w:rsidRPr="00640D42">
        <w:rPr>
          <w:rFonts w:ascii="Times New Roman" w:hAnsi="Times New Roman" w:cs="Times New Roman"/>
        </w:rPr>
        <w:t xml:space="preserve"> </w:t>
      </w:r>
      <w:r w:rsidR="0086760F" w:rsidRPr="00640D42">
        <w:rPr>
          <w:rFonts w:ascii="Times New Roman" w:hAnsi="Times New Roman" w:cs="Times New Roman"/>
        </w:rPr>
        <w:t xml:space="preserve">We assess it against two </w:t>
      </w:r>
      <w:r w:rsidR="0099284D">
        <w:rPr>
          <w:rFonts w:ascii="Times New Roman" w:hAnsi="Times New Roman" w:cs="Times New Roman"/>
        </w:rPr>
        <w:t>commitments Nigeria has already made</w:t>
      </w:r>
      <w:r w:rsidR="001A5CCD">
        <w:rPr>
          <w:rFonts w:ascii="Times New Roman" w:hAnsi="Times New Roman" w:cs="Times New Roman"/>
        </w:rPr>
        <w:t>:</w:t>
      </w:r>
      <w:r w:rsidR="0086760F" w:rsidRPr="00640D42">
        <w:rPr>
          <w:rFonts w:ascii="Times New Roman" w:hAnsi="Times New Roman" w:cs="Times New Roman"/>
        </w:rPr>
        <w:t>The first is IFRS S1 and IFRS S2, which Nigeria has adopted and which impose requirements that the framework must enable entities to meet.</w:t>
      </w:r>
      <w:r w:rsidRPr="00640D42">
        <w:rPr>
          <w:rFonts w:ascii="Times New Roman" w:hAnsi="Times New Roman" w:cs="Times New Roman"/>
        </w:rPr>
        <w:t xml:space="preserve"> </w:t>
      </w:r>
      <w:r w:rsidR="0086760F" w:rsidRPr="00640D42">
        <w:rPr>
          <w:rFonts w:ascii="Times New Roman" w:hAnsi="Times New Roman" w:cs="Times New Roman"/>
        </w:rPr>
        <w:t>The second is internal coherence, which refers to whether the framework does what its own instruments say it does.</w:t>
      </w:r>
      <w:r w:rsidRPr="00640D42">
        <w:rPr>
          <w:rFonts w:ascii="Times New Roman" w:hAnsi="Times New Roman" w:cs="Times New Roman"/>
        </w:rPr>
        <w:t xml:space="preserve"> </w:t>
      </w:r>
      <w:r w:rsidR="0086760F" w:rsidRPr="00640D42">
        <w:rPr>
          <w:rFonts w:ascii="Times New Roman" w:hAnsi="Times New Roman" w:cs="Times New Roman"/>
        </w:rPr>
        <w:t>A test that the regulator calls a readiness test should measure readiness</w:t>
      </w:r>
      <w:r w:rsidR="001A5CCD">
        <w:rPr>
          <w:rFonts w:ascii="Times New Roman" w:hAnsi="Times New Roman" w:cs="Times New Roman"/>
        </w:rPr>
        <w:t>; a</w:t>
      </w:r>
      <w:r w:rsidR="0086760F" w:rsidRPr="00640D42">
        <w:rPr>
          <w:rFonts w:ascii="Times New Roman" w:hAnsi="Times New Roman" w:cs="Times New Roman"/>
        </w:rPr>
        <w:t xml:space="preserve"> mandate should carry the possibility of sanctions.</w:t>
      </w:r>
      <w:r w:rsidRPr="00640D42">
        <w:rPr>
          <w:rFonts w:ascii="Times New Roman" w:hAnsi="Times New Roman" w:cs="Times New Roman"/>
        </w:rPr>
        <w:t xml:space="preserve"> </w:t>
      </w:r>
      <w:r w:rsidR="0086760F" w:rsidRPr="00640D42">
        <w:rPr>
          <w:rFonts w:ascii="Times New Roman" w:hAnsi="Times New Roman" w:cs="Times New Roman"/>
        </w:rPr>
        <w:t xml:space="preserve">Both criteria are internal to Nigeria’s </w:t>
      </w:r>
      <w:r w:rsidR="00F70612">
        <w:rPr>
          <w:rFonts w:ascii="Times New Roman" w:hAnsi="Times New Roman" w:cs="Times New Roman"/>
        </w:rPr>
        <w:t>choices, and a reader who rejects them rejects</w:t>
      </w:r>
      <w:r w:rsidR="0086760F" w:rsidRPr="00640D42">
        <w:rPr>
          <w:rFonts w:ascii="Times New Roman" w:hAnsi="Times New Roman" w:cs="Times New Roman"/>
        </w:rPr>
        <w:t xml:space="preserve"> the commitments the FRC has made.</w:t>
      </w:r>
    </w:p>
    <w:p w14:paraId="07EFA9FC" w14:textId="7777777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Approach.</w:t>
      </w:r>
      <w:r w:rsidRPr="00640D42">
        <w:rPr>
          <w:rFonts w:ascii="Times New Roman" w:hAnsi="Times New Roman" w:cs="Times New Roman"/>
        </w:rPr>
        <w:t xml:space="preserve"> Each instrument is read for what it assigns, to whom, and with what consequence for non-compliance. Defects are identified where an obligation is created without a corresponding allocation, measure, sanction, or verification. Defect 2 is additionally read against an external theoretical benchmark, Weiner’s (2009) theory of organisational readiness for change, which permits the FRC’s diagnostic instrument to be assessed rather than merely described.</w:t>
      </w:r>
    </w:p>
    <w:p w14:paraId="1058F0A2" w14:textId="0CF145C7" w:rsidR="00AA148B" w:rsidRPr="00640D42" w:rsidRDefault="0086760F" w:rsidP="00AA148B">
      <w:pPr>
        <w:pStyle w:val="BodyText"/>
        <w:spacing w:line="360" w:lineRule="auto"/>
        <w:jc w:val="both"/>
        <w:rPr>
          <w:rFonts w:ascii="Times New Roman" w:hAnsi="Times New Roman" w:cs="Times New Roman"/>
        </w:rPr>
      </w:pPr>
      <w:r w:rsidRPr="00640D42">
        <w:rPr>
          <w:rFonts w:ascii="Times New Roman" w:hAnsi="Times New Roman" w:cs="Times New Roman"/>
        </w:rPr>
        <w:lastRenderedPageBreak/>
        <w:t>Where the analysis rests on the absence rather than the text, the absence is stated as a verifiable fact about the document.</w:t>
      </w:r>
      <w:r w:rsidR="00AA148B" w:rsidRPr="00640D42">
        <w:rPr>
          <w:rFonts w:ascii="Times New Roman" w:hAnsi="Times New Roman" w:cs="Times New Roman"/>
        </w:rPr>
        <w:t xml:space="preserve"> The claim that the phrase “audit committee” does not appear in the Roadmap or in </w:t>
      </w:r>
      <w:r w:rsidR="00CA0958" w:rsidRPr="00640D42">
        <w:rPr>
          <w:rFonts w:ascii="Times New Roman" w:hAnsi="Times New Roman" w:cs="Times New Roman"/>
        </w:rPr>
        <w:t>SRG</w:t>
      </w:r>
      <w:r w:rsidR="00AA148B" w:rsidRPr="00640D42">
        <w:rPr>
          <w:rFonts w:ascii="Times New Roman" w:hAnsi="Times New Roman" w:cs="Times New Roman"/>
        </w:rPr>
        <w:t>1 is of this kind, and any reader may confirm it.</w:t>
      </w:r>
    </w:p>
    <w:p w14:paraId="3F14204A" w14:textId="7313612D"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Comparator selection.</w:t>
      </w:r>
      <w:r w:rsidRPr="00640D42">
        <w:rPr>
          <w:rFonts w:ascii="Times New Roman" w:hAnsi="Times New Roman" w:cs="Times New Roman"/>
        </w:rPr>
        <w:t xml:space="preserve"> </w:t>
      </w:r>
      <w:r w:rsidR="0086760F" w:rsidRPr="00640D42">
        <w:rPr>
          <w:rFonts w:ascii="Times New Roman" w:hAnsi="Times New Roman" w:cs="Times New Roman"/>
        </w:rPr>
        <w:t>Kenya and South Africa are the only other African jurisdictions that have published positions on ISSB adoption.</w:t>
      </w:r>
      <w:r w:rsidR="00D205BC" w:rsidRPr="00640D42">
        <w:rPr>
          <w:rFonts w:ascii="Times New Roman" w:hAnsi="Times New Roman" w:cs="Times New Roman"/>
          <w:lang w:val="en-GB"/>
        </w:rPr>
        <w:t xml:space="preserve"> </w:t>
      </w:r>
      <w:r w:rsidR="0086760F" w:rsidRPr="00640D42">
        <w:rPr>
          <w:rFonts w:ascii="Times New Roman" w:hAnsi="Times New Roman" w:cs="Times New Roman"/>
        </w:rPr>
        <w:t xml:space="preserve">Ghana, Egypt, and Morocco have engaged with the ISSB but have not published adoption roadmaps or governance positions, leaving no documentary basis for comparison between the </w:t>
      </w:r>
      <w:r w:rsidR="00F51D20">
        <w:rPr>
          <w:rFonts w:ascii="Times New Roman" w:hAnsi="Times New Roman" w:cs="Times New Roman"/>
        </w:rPr>
        <w:t>3</w:t>
      </w:r>
      <w:r w:rsidR="0086760F" w:rsidRPr="00640D42">
        <w:rPr>
          <w:rFonts w:ascii="Times New Roman" w:hAnsi="Times New Roman" w:cs="Times New Roman"/>
        </w:rPr>
        <w:t>.</w:t>
      </w:r>
      <w:r w:rsidR="00A17F6E" w:rsidRPr="00640D42">
        <w:rPr>
          <w:rFonts w:ascii="Times New Roman" w:hAnsi="Times New Roman" w:cs="Times New Roman"/>
        </w:rPr>
        <w:t xml:space="preserve"> </w:t>
      </w:r>
      <w:r w:rsidR="0086760F" w:rsidRPr="00640D42">
        <w:rPr>
          <w:rFonts w:ascii="Times New Roman" w:hAnsi="Times New Roman" w:cs="Times New Roman"/>
        </w:rPr>
        <w:t>They bracket Nigeria: Kenya is ahead on the mandate and behind on the announcement, and South Africa is ahead on governance specification and behind on the mandate.</w:t>
      </w:r>
    </w:p>
    <w:p w14:paraId="4920479B" w14:textId="5D6015C3" w:rsidR="00AA148B" w:rsidRPr="00640D42" w:rsidRDefault="003724B7" w:rsidP="003724B7">
      <w:pPr>
        <w:pStyle w:val="Compact"/>
        <w:spacing w:line="360" w:lineRule="auto"/>
        <w:jc w:val="both"/>
        <w:rPr>
          <w:rFonts w:ascii="Times New Roman" w:hAnsi="Times New Roman" w:cs="Times New Roman"/>
        </w:rPr>
      </w:pPr>
      <w:r w:rsidRPr="003724B7">
        <w:rPr>
          <w:rFonts w:ascii="Times New Roman" w:hAnsi="Times New Roman" w:cs="Times New Roman"/>
        </w:rPr>
        <w:t xml:space="preserve">The analysis advances four propositions, one per defect, each tested against the corpus and stated at the </w:t>
      </w:r>
      <w:r w:rsidR="00AB411D">
        <w:rPr>
          <w:rFonts w:ascii="Times New Roman" w:hAnsi="Times New Roman" w:cs="Times New Roman"/>
        </w:rPr>
        <w:t>beginning</w:t>
      </w:r>
      <w:r w:rsidRPr="003724B7">
        <w:rPr>
          <w:rFonts w:ascii="Times New Roman" w:hAnsi="Times New Roman" w:cs="Times New Roman"/>
        </w:rPr>
        <w:t xml:space="preserve"> of Sections 7 to 10</w:t>
      </w:r>
      <w:r>
        <w:rPr>
          <w:rFonts w:ascii="Times New Roman" w:hAnsi="Times New Roman" w:cs="Times New Roman"/>
        </w:rPr>
        <w:t>.</w:t>
      </w:r>
    </w:p>
    <w:p w14:paraId="3517F2D5" w14:textId="77777777" w:rsidR="00A17F6E" w:rsidRPr="00640D42" w:rsidRDefault="00A17F6E" w:rsidP="00A17F6E">
      <w:pPr>
        <w:pStyle w:val="Heading2"/>
        <w:jc w:val="both"/>
        <w:rPr>
          <w:b/>
          <w:bCs/>
          <w:color w:val="auto"/>
          <w:sz w:val="24"/>
          <w:szCs w:val="24"/>
        </w:rPr>
      </w:pPr>
      <w:bookmarkStart w:id="4" w:name="nigerias-regulatory-architecture"/>
      <w:bookmarkEnd w:id="3"/>
    </w:p>
    <w:p w14:paraId="07F73CDB" w14:textId="0B50B37D" w:rsidR="00AA148B" w:rsidRPr="00640D42" w:rsidRDefault="00CA3481" w:rsidP="00AA148B">
      <w:pPr>
        <w:pStyle w:val="Heading2"/>
        <w:spacing w:line="360" w:lineRule="auto"/>
        <w:jc w:val="both"/>
        <w:rPr>
          <w:b/>
          <w:bCs/>
          <w:color w:val="auto"/>
          <w:sz w:val="24"/>
          <w:szCs w:val="24"/>
        </w:rPr>
      </w:pPr>
      <w:r>
        <w:rPr>
          <w:b/>
          <w:bCs/>
          <w:color w:val="auto"/>
          <w:sz w:val="24"/>
          <w:szCs w:val="24"/>
        </w:rPr>
        <w:t>5</w:t>
      </w:r>
      <w:r w:rsidR="00AA148B" w:rsidRPr="00640D42">
        <w:rPr>
          <w:b/>
          <w:bCs/>
          <w:color w:val="auto"/>
          <w:sz w:val="24"/>
          <w:szCs w:val="24"/>
        </w:rPr>
        <w:t>. Nigeria’s Regulatory Architecture</w:t>
      </w:r>
    </w:p>
    <w:p w14:paraId="464CF422" w14:textId="52D8FE8F" w:rsidR="00AA148B" w:rsidRPr="00640D42" w:rsidRDefault="0086760F" w:rsidP="00201320">
      <w:pPr>
        <w:pStyle w:val="FirstParagraph"/>
        <w:spacing w:line="360" w:lineRule="auto"/>
        <w:jc w:val="both"/>
        <w:rPr>
          <w:rFonts w:ascii="Times New Roman" w:hAnsi="Times New Roman" w:cs="Times New Roman"/>
        </w:rPr>
      </w:pPr>
      <w:r w:rsidRPr="00640D42">
        <w:rPr>
          <w:rFonts w:ascii="Times New Roman" w:hAnsi="Times New Roman" w:cs="Times New Roman"/>
        </w:rPr>
        <w:t>The Financial Reporting Council of Nigeria Act 2011, as amended in 2023, provides the Council’s powers.</w:t>
      </w:r>
      <w:r w:rsidR="00AA148B" w:rsidRPr="00640D42">
        <w:rPr>
          <w:rFonts w:ascii="Times New Roman" w:hAnsi="Times New Roman" w:cs="Times New Roman"/>
        </w:rPr>
        <w:t xml:space="preserve"> </w:t>
      </w:r>
      <w:r w:rsidRPr="00640D42">
        <w:rPr>
          <w:rFonts w:ascii="Times New Roman" w:hAnsi="Times New Roman" w:cs="Times New Roman"/>
        </w:rPr>
        <w:t>Section 8(h) mandates the FRC to promote compliance with standards adopted from the IFRS Foundation and other designated bodies, and it is on that provision that adoption rests (FRC Nigeria, 2026b, §1.1)</w:t>
      </w:r>
      <w:r w:rsidR="00842F97">
        <w:rPr>
          <w:rFonts w:ascii="Times New Roman" w:hAnsi="Times New Roman" w:cs="Times New Roman"/>
        </w:rPr>
        <w:t>z, while</w:t>
      </w:r>
      <w:r w:rsidR="00AA148B" w:rsidRPr="00640D42">
        <w:rPr>
          <w:rFonts w:ascii="Times New Roman" w:hAnsi="Times New Roman" w:cs="Times New Roman"/>
        </w:rPr>
        <w:t xml:space="preserve"> Section 8(2) is the authority for </w:t>
      </w:r>
      <w:r w:rsidR="00CA0958" w:rsidRPr="00640D42">
        <w:rPr>
          <w:rFonts w:ascii="Times New Roman" w:hAnsi="Times New Roman" w:cs="Times New Roman"/>
        </w:rPr>
        <w:t>SRG</w:t>
      </w:r>
      <w:r w:rsidR="00AA148B" w:rsidRPr="00640D42">
        <w:rPr>
          <w:rFonts w:ascii="Times New Roman" w:hAnsi="Times New Roman" w:cs="Times New Roman"/>
        </w:rPr>
        <w:t>1 (FRC Nigeria, 2026c).</w:t>
      </w:r>
    </w:p>
    <w:p w14:paraId="113EA5C7" w14:textId="4ED64116"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The earliest of the sector instruments is the Central Bank of Nigeria’s Nigerian Sustainable Banking Principles, adopted in 2012 and given effect by circular, requiring banks, discount houses, and development finance institutions to integrate nine environmental and social principles into their operational, governance, and risk management frameworks (Central Bank of Nigeria, 2012a, 2012b). A reporting template </w:t>
      </w:r>
      <w:r w:rsidR="0099284D">
        <w:rPr>
          <w:rFonts w:ascii="Times New Roman" w:hAnsi="Times New Roman" w:cs="Times New Roman"/>
        </w:rPr>
        <w:t xml:space="preserve">was </w:t>
      </w:r>
      <w:r w:rsidRPr="00640D42">
        <w:rPr>
          <w:rFonts w:ascii="Times New Roman" w:hAnsi="Times New Roman" w:cs="Times New Roman"/>
        </w:rPr>
        <w:t xml:space="preserve">followed in 2013. </w:t>
      </w:r>
      <w:r w:rsidR="0086760F" w:rsidRPr="00640D42">
        <w:rPr>
          <w:rFonts w:ascii="Times New Roman" w:hAnsi="Times New Roman" w:cs="Times New Roman"/>
          <w:b/>
          <w:bCs/>
        </w:rPr>
        <w:t>Therefore, Nigerian banks have been subject to mandatory sustainability reporting for more than a decade, longer than any other sector in the country.</w:t>
      </w:r>
    </w:p>
    <w:p w14:paraId="2B6A8C93" w14:textId="4DF906D5" w:rsidR="00AA148B" w:rsidRPr="00640D42" w:rsidRDefault="0086760F" w:rsidP="00AA148B">
      <w:pPr>
        <w:pStyle w:val="BodyText"/>
        <w:spacing w:line="360" w:lineRule="auto"/>
        <w:jc w:val="both"/>
        <w:rPr>
          <w:rFonts w:ascii="Times New Roman" w:hAnsi="Times New Roman" w:cs="Times New Roman"/>
        </w:rPr>
      </w:pPr>
      <w:r w:rsidRPr="00640D42">
        <w:rPr>
          <w:rFonts w:ascii="Times New Roman" w:hAnsi="Times New Roman" w:cs="Times New Roman"/>
        </w:rPr>
        <w:t>The Nigerian Exchange’s Sustainability Disclosure Guidelines, approved by the Securities and Exchange Commission</w:t>
      </w:r>
      <w:r w:rsidR="004A37A9">
        <w:rPr>
          <w:rFonts w:ascii="Times New Roman" w:hAnsi="Times New Roman" w:cs="Times New Roman"/>
        </w:rPr>
        <w:t xml:space="preserve"> (SEC)</w:t>
      </w:r>
      <w:r w:rsidRPr="00640D42">
        <w:rPr>
          <w:rFonts w:ascii="Times New Roman" w:hAnsi="Times New Roman" w:cs="Times New Roman"/>
        </w:rPr>
        <w:t xml:space="preserve"> in December 2018, extended the disclosure obligation to all listed companies (Nigerian Exchange, 2018).</w:t>
      </w:r>
      <w:r w:rsidR="00AA148B" w:rsidRPr="00640D42">
        <w:rPr>
          <w:rFonts w:ascii="Times New Roman" w:hAnsi="Times New Roman" w:cs="Times New Roman"/>
        </w:rPr>
        <w:t xml:space="preserve"> The Commission’s own Guidelines on Sustainable Financial Principles (2021) subsequently integrated ESG considerations into capital market operations more broadly. </w:t>
      </w:r>
      <w:r w:rsidRPr="00640D42">
        <w:rPr>
          <w:rFonts w:ascii="Times New Roman" w:hAnsi="Times New Roman" w:cs="Times New Roman"/>
        </w:rPr>
        <w:t xml:space="preserve">The FRC’s Roadmap lists all </w:t>
      </w:r>
      <w:r w:rsidR="00F51D20">
        <w:rPr>
          <w:rFonts w:ascii="Times New Roman" w:hAnsi="Times New Roman" w:cs="Times New Roman"/>
        </w:rPr>
        <w:t>3</w:t>
      </w:r>
      <w:r w:rsidRPr="00640D42">
        <w:rPr>
          <w:rFonts w:ascii="Times New Roman" w:hAnsi="Times New Roman" w:cs="Times New Roman"/>
        </w:rPr>
        <w:t xml:space="preserve">, alongside CAMA, the Nigerian Code of Corporate Governance </w:t>
      </w:r>
      <w:r w:rsidR="004A37A9">
        <w:rPr>
          <w:rFonts w:ascii="Times New Roman" w:hAnsi="Times New Roman" w:cs="Times New Roman"/>
        </w:rPr>
        <w:t>(</w:t>
      </w:r>
      <w:r w:rsidRPr="00640D42">
        <w:rPr>
          <w:rFonts w:ascii="Times New Roman" w:hAnsi="Times New Roman" w:cs="Times New Roman"/>
        </w:rPr>
        <w:t>NCCG</w:t>
      </w:r>
      <w:r w:rsidR="006E28AB">
        <w:rPr>
          <w:rFonts w:ascii="Times New Roman" w:hAnsi="Times New Roman" w:cs="Times New Roman"/>
        </w:rPr>
        <w:t>)</w:t>
      </w:r>
      <w:r w:rsidRPr="00640D42">
        <w:rPr>
          <w:rFonts w:ascii="Times New Roman" w:hAnsi="Times New Roman" w:cs="Times New Roman"/>
        </w:rPr>
        <w:t xml:space="preserve"> 2018, the Climate Change Act 2021, and environmental statutes (FRC Nigeria, 2026b, §4).</w:t>
      </w:r>
    </w:p>
    <w:p w14:paraId="1597E91B" w14:textId="77777777" w:rsidR="00201320" w:rsidRPr="00640D42" w:rsidRDefault="00201320">
      <w:pPr>
        <w:rPr>
          <w:rFonts w:eastAsiaTheme="minorHAnsi"/>
          <w:b/>
          <w:bCs/>
          <w:sz w:val="24"/>
          <w:szCs w:val="24"/>
          <w:lang w:val="en-US" w:eastAsia="en-US"/>
        </w:rPr>
      </w:pPr>
      <w:r w:rsidRPr="00640D42">
        <w:rPr>
          <w:b/>
          <w:bCs/>
        </w:rPr>
        <w:br w:type="page"/>
      </w:r>
    </w:p>
    <w:p w14:paraId="319FAF9B" w14:textId="2744EECD"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lastRenderedPageBreak/>
        <w:t xml:space="preserve">Table </w:t>
      </w:r>
      <w:r w:rsidR="00C6334B">
        <w:rPr>
          <w:rFonts w:ascii="Times New Roman" w:hAnsi="Times New Roman" w:cs="Times New Roman"/>
          <w:b/>
          <w:bCs/>
        </w:rPr>
        <w:t>1</w:t>
      </w:r>
      <w:r w:rsidRPr="00640D42">
        <w:rPr>
          <w:rFonts w:ascii="Times New Roman" w:hAnsi="Times New Roman" w:cs="Times New Roman"/>
          <w:b/>
          <w:bCs/>
        </w:rPr>
        <w:t>. Sustainability reporting obligations in Nigeria before the ISSB standards</w:t>
      </w:r>
    </w:p>
    <w:tbl>
      <w:tblPr>
        <w:tblStyle w:val="Table"/>
        <w:tblW w:w="5000" w:type="pct"/>
        <w:tblLook w:val="0020" w:firstRow="1" w:lastRow="0" w:firstColumn="0" w:lastColumn="0" w:noHBand="0" w:noVBand="0"/>
      </w:tblPr>
      <w:tblGrid>
        <w:gridCol w:w="639"/>
        <w:gridCol w:w="2961"/>
        <w:gridCol w:w="1975"/>
        <w:gridCol w:w="4505"/>
      </w:tblGrid>
      <w:tr w:rsidR="00AA148B" w:rsidRPr="00640D42" w14:paraId="02A81E6F" w14:textId="77777777" w:rsidTr="00F277AC">
        <w:trPr>
          <w:cnfStyle w:val="100000000000" w:firstRow="1" w:lastRow="0" w:firstColumn="0" w:lastColumn="0" w:oddVBand="0" w:evenVBand="0" w:oddHBand="0" w:evenHBand="0" w:firstRowFirstColumn="0" w:firstRowLastColumn="0" w:lastRowFirstColumn="0" w:lastRowLastColumn="0"/>
          <w:tblHeader/>
        </w:trPr>
        <w:tc>
          <w:tcPr>
            <w:tcW w:w="0" w:type="auto"/>
          </w:tcPr>
          <w:p w14:paraId="56209CBB" w14:textId="77777777" w:rsidR="00AA148B" w:rsidRPr="00640D42" w:rsidRDefault="00AA148B" w:rsidP="00201320">
            <w:pPr>
              <w:pStyle w:val="Compact"/>
              <w:jc w:val="center"/>
              <w:rPr>
                <w:rFonts w:ascii="Times New Roman" w:hAnsi="Times New Roman" w:cs="Times New Roman"/>
                <w:b/>
                <w:bCs/>
                <w:sz w:val="20"/>
                <w:szCs w:val="20"/>
              </w:rPr>
            </w:pPr>
            <w:r w:rsidRPr="00640D42">
              <w:rPr>
                <w:rFonts w:ascii="Times New Roman" w:hAnsi="Times New Roman" w:cs="Times New Roman"/>
                <w:b/>
                <w:bCs/>
                <w:sz w:val="20"/>
                <w:szCs w:val="20"/>
              </w:rPr>
              <w:t>Year</w:t>
            </w:r>
          </w:p>
        </w:tc>
        <w:tc>
          <w:tcPr>
            <w:tcW w:w="0" w:type="auto"/>
          </w:tcPr>
          <w:p w14:paraId="3C29A074" w14:textId="77777777" w:rsidR="00AA148B" w:rsidRPr="00640D42" w:rsidRDefault="00AA148B" w:rsidP="00201320">
            <w:pPr>
              <w:pStyle w:val="Compact"/>
              <w:jc w:val="center"/>
              <w:rPr>
                <w:rFonts w:ascii="Times New Roman" w:hAnsi="Times New Roman" w:cs="Times New Roman"/>
                <w:b/>
                <w:bCs/>
                <w:sz w:val="20"/>
                <w:szCs w:val="20"/>
              </w:rPr>
            </w:pPr>
            <w:r w:rsidRPr="00640D42">
              <w:rPr>
                <w:rFonts w:ascii="Times New Roman" w:hAnsi="Times New Roman" w:cs="Times New Roman"/>
                <w:b/>
                <w:bCs/>
                <w:sz w:val="20"/>
                <w:szCs w:val="20"/>
              </w:rPr>
              <w:t>Instrument</w:t>
            </w:r>
          </w:p>
        </w:tc>
        <w:tc>
          <w:tcPr>
            <w:tcW w:w="0" w:type="auto"/>
          </w:tcPr>
          <w:p w14:paraId="23FD58E9" w14:textId="77777777" w:rsidR="00AA148B" w:rsidRPr="00640D42" w:rsidRDefault="00AA148B" w:rsidP="00201320">
            <w:pPr>
              <w:pStyle w:val="Compact"/>
              <w:jc w:val="center"/>
              <w:rPr>
                <w:rFonts w:ascii="Times New Roman" w:hAnsi="Times New Roman" w:cs="Times New Roman"/>
                <w:b/>
                <w:bCs/>
                <w:sz w:val="20"/>
                <w:szCs w:val="20"/>
              </w:rPr>
            </w:pPr>
            <w:r w:rsidRPr="00640D42">
              <w:rPr>
                <w:rFonts w:ascii="Times New Roman" w:hAnsi="Times New Roman" w:cs="Times New Roman"/>
                <w:b/>
                <w:bCs/>
                <w:sz w:val="20"/>
                <w:szCs w:val="20"/>
              </w:rPr>
              <w:t>Scope</w:t>
            </w:r>
          </w:p>
        </w:tc>
        <w:tc>
          <w:tcPr>
            <w:tcW w:w="0" w:type="auto"/>
          </w:tcPr>
          <w:p w14:paraId="4948A328" w14:textId="77777777" w:rsidR="00AA148B" w:rsidRPr="00640D42" w:rsidRDefault="00AA148B" w:rsidP="00201320">
            <w:pPr>
              <w:pStyle w:val="Compact"/>
              <w:jc w:val="center"/>
              <w:rPr>
                <w:rFonts w:ascii="Times New Roman" w:hAnsi="Times New Roman" w:cs="Times New Roman"/>
                <w:b/>
                <w:bCs/>
                <w:sz w:val="20"/>
                <w:szCs w:val="20"/>
              </w:rPr>
            </w:pPr>
            <w:r w:rsidRPr="00640D42">
              <w:rPr>
                <w:rFonts w:ascii="Times New Roman" w:hAnsi="Times New Roman" w:cs="Times New Roman"/>
                <w:b/>
                <w:bCs/>
                <w:sz w:val="20"/>
                <w:szCs w:val="20"/>
              </w:rPr>
              <w:t>What it required</w:t>
            </w:r>
          </w:p>
        </w:tc>
      </w:tr>
      <w:tr w:rsidR="00AA148B" w:rsidRPr="00640D42" w14:paraId="58BF9765" w14:textId="77777777" w:rsidTr="00F277AC">
        <w:tc>
          <w:tcPr>
            <w:tcW w:w="0" w:type="auto"/>
          </w:tcPr>
          <w:p w14:paraId="06A44731"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2012</w:t>
            </w:r>
          </w:p>
        </w:tc>
        <w:tc>
          <w:tcPr>
            <w:tcW w:w="0" w:type="auto"/>
          </w:tcPr>
          <w:p w14:paraId="674BE57D"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CBN Nigerian Sustainable Banking Principles</w:t>
            </w:r>
          </w:p>
        </w:tc>
        <w:tc>
          <w:tcPr>
            <w:tcW w:w="0" w:type="auto"/>
          </w:tcPr>
          <w:p w14:paraId="65AFD034"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Banks, discount houses, DFIs</w:t>
            </w:r>
          </w:p>
        </w:tc>
        <w:tc>
          <w:tcPr>
            <w:tcW w:w="0" w:type="auto"/>
          </w:tcPr>
          <w:p w14:paraId="24D349B6"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Nine environmental and social principles integrated into operations, governance, and risk management; activity reporting</w:t>
            </w:r>
          </w:p>
        </w:tc>
      </w:tr>
      <w:tr w:rsidR="00AA148B" w:rsidRPr="00640D42" w14:paraId="672449C1" w14:textId="77777777" w:rsidTr="00F277AC">
        <w:tc>
          <w:tcPr>
            <w:tcW w:w="0" w:type="auto"/>
          </w:tcPr>
          <w:p w14:paraId="491FD415"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2018</w:t>
            </w:r>
          </w:p>
        </w:tc>
        <w:tc>
          <w:tcPr>
            <w:tcW w:w="0" w:type="auto"/>
          </w:tcPr>
          <w:p w14:paraId="65181406"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NGX Sustainability Disclosure Guidelines (SEC-approved Dec 2018)</w:t>
            </w:r>
          </w:p>
        </w:tc>
        <w:tc>
          <w:tcPr>
            <w:tcW w:w="0" w:type="auto"/>
          </w:tcPr>
          <w:p w14:paraId="67C527AF"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Listed companies</w:t>
            </w:r>
          </w:p>
        </w:tc>
        <w:tc>
          <w:tcPr>
            <w:tcW w:w="0" w:type="auto"/>
          </w:tcPr>
          <w:p w14:paraId="119047EF"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Sustainability disclosure, largely narrative</w:t>
            </w:r>
          </w:p>
        </w:tc>
      </w:tr>
      <w:tr w:rsidR="00AA148B" w:rsidRPr="00640D42" w14:paraId="7845DDF9" w14:textId="77777777" w:rsidTr="00F277AC">
        <w:tc>
          <w:tcPr>
            <w:tcW w:w="0" w:type="auto"/>
          </w:tcPr>
          <w:p w14:paraId="762E5836"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2018</w:t>
            </w:r>
          </w:p>
        </w:tc>
        <w:tc>
          <w:tcPr>
            <w:tcW w:w="0" w:type="auto"/>
          </w:tcPr>
          <w:p w14:paraId="6AFB0D6B"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Nigerian Code of Corporate Governance, Principle 26</w:t>
            </w:r>
          </w:p>
        </w:tc>
        <w:tc>
          <w:tcPr>
            <w:tcW w:w="0" w:type="auto"/>
          </w:tcPr>
          <w:p w14:paraId="3C3EC12D" w14:textId="19511B04"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 xml:space="preserve">Companies within </w:t>
            </w:r>
            <w:r w:rsidR="00B7490F" w:rsidRPr="00640D42">
              <w:rPr>
                <w:rFonts w:ascii="Times New Roman" w:hAnsi="Times New Roman" w:cs="Times New Roman"/>
                <w:sz w:val="20"/>
                <w:szCs w:val="20"/>
              </w:rPr>
              <w:t xml:space="preserve">the </w:t>
            </w:r>
            <w:r w:rsidRPr="00640D42">
              <w:rPr>
                <w:rFonts w:ascii="Times New Roman" w:hAnsi="Times New Roman" w:cs="Times New Roman"/>
                <w:sz w:val="20"/>
                <w:szCs w:val="20"/>
              </w:rPr>
              <w:t>scope of the Code</w:t>
            </w:r>
          </w:p>
        </w:tc>
        <w:tc>
          <w:tcPr>
            <w:tcW w:w="0" w:type="auto"/>
          </w:tcPr>
          <w:p w14:paraId="4E85A633" w14:textId="24CDEAD9"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 xml:space="preserve">Sustainability policies </w:t>
            </w:r>
            <w:r w:rsidR="00B7490F" w:rsidRPr="00640D42">
              <w:rPr>
                <w:rFonts w:ascii="Times New Roman" w:hAnsi="Times New Roman" w:cs="Times New Roman"/>
                <w:sz w:val="20"/>
                <w:szCs w:val="20"/>
              </w:rPr>
              <w:t xml:space="preserve">are </w:t>
            </w:r>
            <w:r w:rsidRPr="00640D42">
              <w:rPr>
                <w:rFonts w:ascii="Times New Roman" w:hAnsi="Times New Roman" w:cs="Times New Roman"/>
                <w:sz w:val="20"/>
                <w:szCs w:val="20"/>
              </w:rPr>
              <w:t xml:space="preserve">established, monitored, and reported on </w:t>
            </w:r>
            <w:r w:rsidRPr="00640D42">
              <w:rPr>
                <w:rFonts w:ascii="Times New Roman" w:hAnsi="Times New Roman" w:cs="Times New Roman"/>
                <w:b/>
                <w:bCs/>
                <w:sz w:val="20"/>
                <w:szCs w:val="20"/>
              </w:rPr>
              <w:t>by the Board</w:t>
            </w:r>
            <w:r w:rsidR="00F70612">
              <w:rPr>
                <w:rFonts w:ascii="Times New Roman" w:hAnsi="Times New Roman" w:cs="Times New Roman"/>
                <w:b/>
                <w:bCs/>
                <w:sz w:val="20"/>
                <w:szCs w:val="20"/>
              </w:rPr>
              <w:t>.</w:t>
            </w:r>
          </w:p>
        </w:tc>
      </w:tr>
      <w:tr w:rsidR="00AA148B" w:rsidRPr="00640D42" w14:paraId="371EEB3F" w14:textId="77777777" w:rsidTr="00F277AC">
        <w:tc>
          <w:tcPr>
            <w:tcW w:w="0" w:type="auto"/>
          </w:tcPr>
          <w:p w14:paraId="2B61856E"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2021</w:t>
            </w:r>
          </w:p>
        </w:tc>
        <w:tc>
          <w:tcPr>
            <w:tcW w:w="0" w:type="auto"/>
          </w:tcPr>
          <w:p w14:paraId="57489D0F"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SEC Guidelines on Sustainable Financial Principles</w:t>
            </w:r>
          </w:p>
        </w:tc>
        <w:tc>
          <w:tcPr>
            <w:tcW w:w="0" w:type="auto"/>
          </w:tcPr>
          <w:p w14:paraId="17BE28F6"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Capital market operators</w:t>
            </w:r>
          </w:p>
        </w:tc>
        <w:tc>
          <w:tcPr>
            <w:tcW w:w="0" w:type="auto"/>
          </w:tcPr>
          <w:p w14:paraId="7536170B"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ESG integration into capital market operations</w:t>
            </w:r>
          </w:p>
        </w:tc>
      </w:tr>
      <w:tr w:rsidR="00AA148B" w:rsidRPr="00640D42" w14:paraId="1DD2A05F" w14:textId="77777777" w:rsidTr="00F277AC">
        <w:tc>
          <w:tcPr>
            <w:tcW w:w="0" w:type="auto"/>
          </w:tcPr>
          <w:p w14:paraId="3833993E"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2028</w:t>
            </w:r>
          </w:p>
        </w:tc>
        <w:tc>
          <w:tcPr>
            <w:tcW w:w="0" w:type="auto"/>
          </w:tcPr>
          <w:p w14:paraId="2E8AB2B2"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IFRS S1 and S2 via the FRC Roadmap and SRG 1</w:t>
            </w:r>
          </w:p>
        </w:tc>
        <w:tc>
          <w:tcPr>
            <w:tcW w:w="0" w:type="auto"/>
          </w:tcPr>
          <w:p w14:paraId="19F621F8"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Public Interest Entities</w:t>
            </w:r>
          </w:p>
        </w:tc>
        <w:tc>
          <w:tcPr>
            <w:tcW w:w="0" w:type="auto"/>
          </w:tcPr>
          <w:p w14:paraId="1281EFA1" w14:textId="77777777" w:rsidR="00AA148B" w:rsidRPr="00640D42" w:rsidRDefault="00AA148B" w:rsidP="00201320">
            <w:pPr>
              <w:pStyle w:val="Compact"/>
              <w:jc w:val="both"/>
              <w:rPr>
                <w:rFonts w:ascii="Times New Roman" w:hAnsi="Times New Roman" w:cs="Times New Roman"/>
                <w:sz w:val="20"/>
                <w:szCs w:val="20"/>
              </w:rPr>
            </w:pPr>
            <w:r w:rsidRPr="00640D42">
              <w:rPr>
                <w:rFonts w:ascii="Times New Roman" w:hAnsi="Times New Roman" w:cs="Times New Roman"/>
                <w:sz w:val="20"/>
                <w:szCs w:val="20"/>
              </w:rPr>
              <w:t>Financial materiality, quantified Scopes 1-3, scenario analysis, internal carbon pricing, assurance</w:t>
            </w:r>
          </w:p>
        </w:tc>
      </w:tr>
    </w:tbl>
    <w:p w14:paraId="345F2EC9" w14:textId="5D18FCF6" w:rsidR="00AA148B" w:rsidRPr="00640D42" w:rsidRDefault="00C96D0B" w:rsidP="00AA148B">
      <w:pPr>
        <w:pStyle w:val="BodyText"/>
        <w:spacing w:line="360" w:lineRule="auto"/>
        <w:jc w:val="both"/>
        <w:rPr>
          <w:rFonts w:ascii="Times New Roman" w:hAnsi="Times New Roman" w:cs="Times New Roman"/>
        </w:rPr>
      </w:pPr>
      <w:r>
        <w:rPr>
          <w:rFonts w:ascii="Times New Roman" w:hAnsi="Times New Roman" w:cs="Times New Roman"/>
        </w:rPr>
        <w:t>Three</w:t>
      </w:r>
      <w:r w:rsidR="0086760F" w:rsidRPr="00640D42">
        <w:rPr>
          <w:rFonts w:ascii="Times New Roman" w:hAnsi="Times New Roman" w:cs="Times New Roman"/>
        </w:rPr>
        <w:t xml:space="preserve"> observations follow (each visible in the progression of Table </w:t>
      </w:r>
      <w:r w:rsidR="003307F8">
        <w:rPr>
          <w:rFonts w:ascii="Times New Roman" w:hAnsi="Times New Roman" w:cs="Times New Roman"/>
        </w:rPr>
        <w:t>1</w:t>
      </w:r>
      <w:r w:rsidR="0086760F" w:rsidRPr="00640D42">
        <w:rPr>
          <w:rFonts w:ascii="Times New Roman" w:hAnsi="Times New Roman" w:cs="Times New Roman"/>
        </w:rPr>
        <w:t>):</w:t>
      </w:r>
    </w:p>
    <w:p w14:paraId="4292996E" w14:textId="4F41C623"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Sequencing.</w:t>
      </w:r>
      <w:r w:rsidRPr="00640D42">
        <w:rPr>
          <w:rFonts w:ascii="Times New Roman" w:hAnsi="Times New Roman" w:cs="Times New Roman"/>
        </w:rPr>
        <w:t xml:space="preserve"> </w:t>
      </w:r>
      <w:r w:rsidR="0086760F" w:rsidRPr="00640D42">
        <w:rPr>
          <w:rFonts w:ascii="Times New Roman" w:hAnsi="Times New Roman" w:cs="Times New Roman"/>
        </w:rPr>
        <w:t>Nigerian listed entities have been disclosing sustainability information for years; therefore, the ISSB transition changes the standard rather than introducing new reporting requirements.</w:t>
      </w:r>
      <w:r w:rsidRPr="00640D42">
        <w:rPr>
          <w:rFonts w:ascii="Times New Roman" w:hAnsi="Times New Roman" w:cs="Times New Roman"/>
        </w:rPr>
        <w:t xml:space="preserve"> </w:t>
      </w:r>
      <w:r w:rsidR="0086760F" w:rsidRPr="00640D42">
        <w:rPr>
          <w:rFonts w:ascii="Times New Roman" w:hAnsi="Times New Roman" w:cs="Times New Roman"/>
        </w:rPr>
        <w:t>What IFRS S1 and S2 add are capabilities that the existing architecture never required and therefore never built.</w:t>
      </w:r>
    </w:p>
    <w:p w14:paraId="706D99F7" w14:textId="77777777" w:rsidR="00C96D0B"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Asymmetry, and what it did not produce.</w:t>
      </w:r>
      <w:r w:rsidRPr="00640D42">
        <w:rPr>
          <w:rFonts w:ascii="Times New Roman" w:hAnsi="Times New Roman" w:cs="Times New Roman"/>
        </w:rPr>
        <w:t xml:space="preserve"> The CBN Principles required environmental and social risk integration and activity reporting</w:t>
      </w:r>
      <w:r w:rsidR="00A3298B">
        <w:rPr>
          <w:rFonts w:ascii="Times New Roman" w:hAnsi="Times New Roman" w:cs="Times New Roman"/>
        </w:rPr>
        <w:t xml:space="preserve">, but </w:t>
      </w:r>
      <w:r w:rsidRPr="00640D42">
        <w:rPr>
          <w:rFonts w:ascii="Times New Roman" w:hAnsi="Times New Roman" w:cs="Times New Roman"/>
        </w:rPr>
        <w:t xml:space="preserve">did not require financial materiality assessment, quantified Scope 3 emissions, climate scenario analysis, or assurance. </w:t>
      </w:r>
    </w:p>
    <w:p w14:paraId="7591F6E0" w14:textId="3BE8E388"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Silence on allocation.</w:t>
      </w:r>
      <w:r w:rsidRPr="00640D42">
        <w:rPr>
          <w:rFonts w:ascii="Times New Roman" w:hAnsi="Times New Roman" w:cs="Times New Roman"/>
        </w:rPr>
        <w:t xml:space="preserve"> No instrument in the Nigerian architecture</w:t>
      </w:r>
      <w:r w:rsidR="00F70612">
        <w:rPr>
          <w:rFonts w:ascii="Times New Roman" w:hAnsi="Times New Roman" w:cs="Times New Roman"/>
        </w:rPr>
        <w:t xml:space="preserve"> from 2012 to 2026 specifies which audit committee oversees sustainability</w:t>
      </w:r>
      <w:r w:rsidR="00D9015A">
        <w:rPr>
          <w:rFonts w:ascii="Times New Roman" w:hAnsi="Times New Roman" w:cs="Times New Roman"/>
        </w:rPr>
        <w:t xml:space="preserve">, and the </w:t>
      </w:r>
      <w:r w:rsidRPr="00640D42">
        <w:rPr>
          <w:rFonts w:ascii="Times New Roman" w:hAnsi="Times New Roman" w:cs="Times New Roman"/>
        </w:rPr>
        <w:t>question has not been answered because it has not been asked.</w:t>
      </w:r>
    </w:p>
    <w:p w14:paraId="003EF8EE" w14:textId="263A3711" w:rsidR="00AA148B" w:rsidRPr="00CA3481" w:rsidRDefault="00CA3481" w:rsidP="00AA148B">
      <w:pPr>
        <w:pStyle w:val="Heading2"/>
        <w:spacing w:line="360" w:lineRule="auto"/>
        <w:jc w:val="both"/>
        <w:rPr>
          <w:b/>
          <w:bCs/>
          <w:color w:val="auto"/>
          <w:sz w:val="28"/>
          <w:szCs w:val="28"/>
        </w:rPr>
      </w:pPr>
      <w:bookmarkStart w:id="5" w:name="X455b98657f183910e88400b167abc519d58d157"/>
      <w:bookmarkEnd w:id="4"/>
      <w:r w:rsidRPr="00CA3481">
        <w:rPr>
          <w:b/>
          <w:bCs/>
          <w:color w:val="auto"/>
          <w:sz w:val="28"/>
          <w:szCs w:val="28"/>
        </w:rPr>
        <w:t>6</w:t>
      </w:r>
      <w:r w:rsidR="00AA148B" w:rsidRPr="00CA3481">
        <w:rPr>
          <w:b/>
          <w:bCs/>
          <w:color w:val="auto"/>
          <w:sz w:val="28"/>
          <w:szCs w:val="28"/>
        </w:rPr>
        <w:t>. Defect 1: The Governance Body That Is Never Named</w:t>
      </w:r>
    </w:p>
    <w:p w14:paraId="0AE06741" w14:textId="54C94B6E" w:rsidR="00AA148B" w:rsidRPr="00640D42" w:rsidRDefault="0086760F"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IFRS S1 requires an entity to identify the governance body or individual responsible for overseeing sustainability-related risks and opportunities and to show how that responsibility is documented in terms of reference and mandates.</w:t>
      </w:r>
      <w:r w:rsidR="00AA148B" w:rsidRPr="00640D42">
        <w:rPr>
          <w:rFonts w:ascii="Times New Roman" w:hAnsi="Times New Roman" w:cs="Times New Roman"/>
        </w:rPr>
        <w:t xml:space="preserve"> The FRC restates the obligation in its own Roadmap (FRC Nigeria, 2026b, §7.2)</w:t>
      </w:r>
      <w:r w:rsidR="007A2EC0">
        <w:rPr>
          <w:rFonts w:ascii="Times New Roman" w:hAnsi="Times New Roman" w:cs="Times New Roman"/>
        </w:rPr>
        <w:t xml:space="preserve"> as </w:t>
      </w:r>
      <w:r w:rsidR="00B128C1" w:rsidRPr="00640D42">
        <w:rPr>
          <w:rFonts w:ascii="Times New Roman" w:hAnsi="Times New Roman" w:cs="Times New Roman"/>
        </w:rPr>
        <w:t>a disclosure requirement, and an entity meets it by naming a body and providing evidence of the assignment.</w:t>
      </w:r>
    </w:p>
    <w:p w14:paraId="5DE5E335" w14:textId="6E4D6CEA" w:rsidR="00AA148B" w:rsidRPr="00640D42" w:rsidRDefault="00E33DB9" w:rsidP="00AA148B">
      <w:pPr>
        <w:pStyle w:val="BodyText"/>
        <w:spacing w:line="360" w:lineRule="auto"/>
        <w:jc w:val="both"/>
        <w:rPr>
          <w:rFonts w:ascii="Times New Roman" w:hAnsi="Times New Roman" w:cs="Times New Roman"/>
        </w:rPr>
      </w:pPr>
      <w:r w:rsidRPr="00640D42">
        <w:rPr>
          <w:rFonts w:ascii="Times New Roman" w:hAnsi="Times New Roman" w:cs="Times New Roman"/>
        </w:rPr>
        <w:t>An entity that has not determined which of its audit committees oversees sustainability has nothing to disclose under the first pillar of the First Standard.</w:t>
      </w:r>
      <w:r w:rsidR="00AA148B" w:rsidRPr="00640D42">
        <w:rPr>
          <w:rFonts w:ascii="Times New Roman" w:hAnsi="Times New Roman" w:cs="Times New Roman"/>
        </w:rPr>
        <w:t xml:space="preserve"> </w:t>
      </w:r>
      <w:r w:rsidRPr="00640D42">
        <w:rPr>
          <w:rFonts w:ascii="Times New Roman" w:hAnsi="Times New Roman" w:cs="Times New Roman"/>
          <w:b/>
          <w:bCs/>
        </w:rPr>
        <w:t xml:space="preserve">Therefore, silence in the instruments is not a matter </w:t>
      </w:r>
      <w:r w:rsidRPr="00640D42">
        <w:rPr>
          <w:rFonts w:ascii="Times New Roman" w:hAnsi="Times New Roman" w:cs="Times New Roman"/>
          <w:b/>
          <w:bCs/>
        </w:rPr>
        <w:lastRenderedPageBreak/>
        <w:t xml:space="preserve">of domestic </w:t>
      </w:r>
      <w:r w:rsidR="007A2EC0">
        <w:rPr>
          <w:rFonts w:ascii="Times New Roman" w:hAnsi="Times New Roman" w:cs="Times New Roman"/>
          <w:b/>
          <w:bCs/>
        </w:rPr>
        <w:t>governance taste</w:t>
      </w:r>
      <w:r w:rsidRPr="00640D42">
        <w:rPr>
          <w:rFonts w:ascii="Times New Roman" w:hAnsi="Times New Roman" w:cs="Times New Roman"/>
          <w:b/>
          <w:bCs/>
        </w:rPr>
        <w:t>.</w:t>
      </w:r>
      <w:r w:rsidR="00AA148B" w:rsidRPr="00640D42">
        <w:rPr>
          <w:rFonts w:ascii="Times New Roman" w:hAnsi="Times New Roman" w:cs="Times New Roman"/>
          <w:b/>
          <w:bCs/>
        </w:rPr>
        <w:t xml:space="preserve"> </w:t>
      </w:r>
      <w:r w:rsidRPr="00640D42">
        <w:rPr>
          <w:rFonts w:ascii="Times New Roman" w:hAnsi="Times New Roman" w:cs="Times New Roman"/>
          <w:b/>
          <w:bCs/>
        </w:rPr>
        <w:t>This creates a compliance problem under the standard Nigeria has adopted</w:t>
      </w:r>
      <w:r w:rsidRPr="00640D42">
        <w:rPr>
          <w:rFonts w:ascii="Times New Roman" w:hAnsi="Times New Roman" w:cs="Times New Roman"/>
        </w:rPr>
        <w:t>, and everything that follows in this section should be read with that consequence in view.</w:t>
      </w:r>
    </w:p>
    <w:p w14:paraId="574A521E" w14:textId="3C599352" w:rsidR="00AA148B" w:rsidRPr="00640D42" w:rsidRDefault="00CA3481" w:rsidP="00AA148B">
      <w:pPr>
        <w:pStyle w:val="Heading3"/>
        <w:spacing w:line="360" w:lineRule="auto"/>
        <w:jc w:val="both"/>
        <w:rPr>
          <w:b/>
          <w:bCs/>
          <w:color w:val="auto"/>
        </w:rPr>
      </w:pPr>
      <w:bookmarkStart w:id="6" w:name="two-committees"/>
      <w:r>
        <w:rPr>
          <w:b/>
          <w:bCs/>
          <w:color w:val="auto"/>
        </w:rPr>
        <w:t>6</w:t>
      </w:r>
      <w:r w:rsidR="00AA148B" w:rsidRPr="00640D42">
        <w:rPr>
          <w:b/>
          <w:bCs/>
          <w:color w:val="auto"/>
        </w:rPr>
        <w:t xml:space="preserve">.1 Two </w:t>
      </w:r>
      <w:r w:rsidR="004B677F">
        <w:rPr>
          <w:b/>
          <w:bCs/>
          <w:color w:val="auto"/>
        </w:rPr>
        <w:t>C</w:t>
      </w:r>
      <w:r w:rsidR="00AA148B" w:rsidRPr="00640D42">
        <w:rPr>
          <w:b/>
          <w:bCs/>
          <w:color w:val="auto"/>
        </w:rPr>
        <w:t>ommittees</w:t>
      </w:r>
    </w:p>
    <w:p w14:paraId="593D2CB4" w14:textId="08F7C015" w:rsidR="00AA148B" w:rsidRPr="00640D42" w:rsidRDefault="00E33DB9"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Nigerian public companies operate two audit committees, and the distinction is structural.</w:t>
      </w:r>
    </w:p>
    <w:p w14:paraId="1AE8CD22" w14:textId="0B51E565"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 xml:space="preserve">The </w:t>
      </w:r>
      <w:r w:rsidR="00BD6A50">
        <w:rPr>
          <w:rFonts w:ascii="Times New Roman" w:hAnsi="Times New Roman" w:cs="Times New Roman"/>
          <w:b/>
          <w:bCs/>
        </w:rPr>
        <w:t>S</w:t>
      </w:r>
      <w:r w:rsidRPr="00640D42">
        <w:rPr>
          <w:rFonts w:ascii="Times New Roman" w:hAnsi="Times New Roman" w:cs="Times New Roman"/>
          <w:b/>
          <w:bCs/>
        </w:rPr>
        <w:t xml:space="preserve">tatutory </w:t>
      </w:r>
      <w:r w:rsidR="00BD6A50">
        <w:rPr>
          <w:rFonts w:ascii="Times New Roman" w:hAnsi="Times New Roman" w:cs="Times New Roman"/>
          <w:b/>
          <w:bCs/>
        </w:rPr>
        <w:t>A</w:t>
      </w:r>
      <w:r w:rsidRPr="00640D42">
        <w:rPr>
          <w:rFonts w:ascii="Times New Roman" w:hAnsi="Times New Roman" w:cs="Times New Roman"/>
          <w:b/>
          <w:bCs/>
        </w:rPr>
        <w:t xml:space="preserve">udit </w:t>
      </w:r>
      <w:r w:rsidR="00BD6A50">
        <w:rPr>
          <w:rFonts w:ascii="Times New Roman" w:hAnsi="Times New Roman" w:cs="Times New Roman"/>
          <w:b/>
          <w:bCs/>
        </w:rPr>
        <w:t>Committee</w:t>
      </w:r>
      <w:r w:rsidRPr="00640D42">
        <w:rPr>
          <w:rFonts w:ascii="Times New Roman" w:hAnsi="Times New Roman" w:cs="Times New Roman"/>
        </w:rPr>
        <w:t xml:space="preserve"> is constituted under section 404 of the Companies and Allied Matters Act 2020. Every public company must establish one, and the external auditor reports to it (s. 404(2)). It consists of five members</w:t>
      </w:r>
      <w:r w:rsidR="00F70612">
        <w:rPr>
          <w:rFonts w:ascii="Times New Roman" w:hAnsi="Times New Roman" w:cs="Times New Roman"/>
        </w:rPr>
        <w:t xml:space="preserve">: </w:t>
      </w:r>
      <w:r w:rsidR="00F51D20">
        <w:rPr>
          <w:rFonts w:ascii="Times New Roman" w:hAnsi="Times New Roman" w:cs="Times New Roman"/>
        </w:rPr>
        <w:t>3</w:t>
      </w:r>
      <w:r w:rsidR="00F70612">
        <w:rPr>
          <w:rFonts w:ascii="Times New Roman" w:hAnsi="Times New Roman" w:cs="Times New Roman"/>
        </w:rPr>
        <w:t xml:space="preserve"> members of the company (that is, shareholders) and two non-executive directors. Its members are not entitled to remuneration and are subject to annual election</w:t>
      </w:r>
      <w:r w:rsidRPr="00640D42">
        <w:rPr>
          <w:rFonts w:ascii="Times New Roman" w:hAnsi="Times New Roman" w:cs="Times New Roman"/>
        </w:rPr>
        <w:t xml:space="preserve"> (s. 404(3))</w:t>
      </w:r>
      <w:r w:rsidR="00FE70CE">
        <w:rPr>
          <w:rFonts w:ascii="Times New Roman" w:hAnsi="Times New Roman" w:cs="Times New Roman"/>
        </w:rPr>
        <w:t xml:space="preserve">; however, all </w:t>
      </w:r>
      <w:r w:rsidRPr="00640D42">
        <w:rPr>
          <w:rFonts w:ascii="Times New Roman" w:hAnsi="Times New Roman" w:cs="Times New Roman"/>
        </w:rPr>
        <w:t xml:space="preserve">members must be financially literate, and at least one must </w:t>
      </w:r>
      <w:r w:rsidR="00F70612">
        <w:rPr>
          <w:rFonts w:ascii="Times New Roman" w:hAnsi="Times New Roman" w:cs="Times New Roman"/>
        </w:rPr>
        <w:t>be a member of</w:t>
      </w:r>
      <w:r w:rsidRPr="00640D42">
        <w:rPr>
          <w:rFonts w:ascii="Times New Roman" w:hAnsi="Times New Roman" w:cs="Times New Roman"/>
        </w:rPr>
        <w:t xml:space="preserve"> a professional accounting body in Nigeria established by an Act of the National Assembly (s. 404(5)). </w:t>
      </w:r>
      <w:r w:rsidR="00E33DB9" w:rsidRPr="00640D42">
        <w:rPr>
          <w:rFonts w:ascii="Times New Roman" w:hAnsi="Times New Roman" w:cs="Times New Roman"/>
        </w:rPr>
        <w:t xml:space="preserve">It examines the auditors’ report and makes recommendations </w:t>
      </w:r>
      <w:r w:rsidR="00E33DB9" w:rsidRPr="00640D42">
        <w:rPr>
          <w:rFonts w:ascii="Times New Roman" w:hAnsi="Times New Roman" w:cs="Times New Roman"/>
          <w:b/>
          <w:bCs/>
        </w:rPr>
        <w:t>to the annual general meeting</w:t>
      </w:r>
      <w:r w:rsidR="00E33DB9" w:rsidRPr="00640D42">
        <w:rPr>
          <w:rFonts w:ascii="Times New Roman" w:hAnsi="Times New Roman" w:cs="Times New Roman"/>
        </w:rPr>
        <w:t xml:space="preserve"> (s.</w:t>
      </w:r>
      <w:r w:rsidRPr="00640D42">
        <w:rPr>
          <w:rFonts w:ascii="Times New Roman" w:hAnsi="Times New Roman" w:cs="Times New Roman"/>
        </w:rPr>
        <w:t xml:space="preserve"> 404(4)).</w:t>
      </w:r>
    </w:p>
    <w:p w14:paraId="70125FB9" w14:textId="0FABB3F4" w:rsidR="00AA148B" w:rsidRPr="00640D42" w:rsidRDefault="00E33DB9" w:rsidP="00AA148B">
      <w:pPr>
        <w:pStyle w:val="BodyText"/>
        <w:spacing w:line="360" w:lineRule="auto"/>
        <w:jc w:val="both"/>
        <w:rPr>
          <w:rFonts w:ascii="Times New Roman" w:hAnsi="Times New Roman" w:cs="Times New Roman"/>
        </w:rPr>
      </w:pPr>
      <w:r w:rsidRPr="00640D42">
        <w:rPr>
          <w:rFonts w:ascii="Times New Roman" w:hAnsi="Times New Roman" w:cs="Times New Roman"/>
        </w:rPr>
        <w:t>Its statutory functions, set out in Section 404(7), are six and uniformly financial: to ascertain whether accounting and reporting policies accord with legal requirements and agreed ethical practices; to review the scope and planning of audit requirements; to review findings on management matters with the external auditor; to keep under review the effectiveness of the company’s system of accounting and internal control; to make recommendations to the board on the appointment, removal, and remuneration of the external auditor; and to authorise internal audit investigations.</w:t>
      </w:r>
    </w:p>
    <w:p w14:paraId="0BEF3C43" w14:textId="7777777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Not one of the six mentions non-financial reporting, sustainability, or environmental or social matters.</w:t>
      </w:r>
    </w:p>
    <w:p w14:paraId="73E79A26" w14:textId="55CFC0FE" w:rsidR="00AA148B" w:rsidRPr="00640D42" w:rsidRDefault="00E33DB9"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However, section 404(7) opens with a qualification that matters more than anything else in this paper: the functions are stated to apply </w:t>
      </w:r>
      <w:r w:rsidRPr="00640D42">
        <w:rPr>
          <w:rFonts w:ascii="Times New Roman" w:hAnsi="Times New Roman" w:cs="Times New Roman"/>
          <w:i/>
          <w:iCs/>
        </w:rPr>
        <w:t>subject to such other additional functions and powers as the company’s articles may stipulate</w:t>
      </w:r>
      <w:r w:rsidRPr="00640D42">
        <w:rPr>
          <w:rFonts w:ascii="Times New Roman" w:hAnsi="Times New Roman" w:cs="Times New Roman"/>
        </w:rPr>
        <w:t>.</w:t>
      </w:r>
      <w:r w:rsidR="00AA148B" w:rsidRPr="00640D42">
        <w:rPr>
          <w:rFonts w:ascii="Times New Roman" w:hAnsi="Times New Roman" w:cs="Times New Roman"/>
        </w:rPr>
        <w:t xml:space="preserve"> </w:t>
      </w:r>
      <w:r w:rsidR="00AA148B" w:rsidRPr="000E3694">
        <w:rPr>
          <w:rFonts w:ascii="Times New Roman" w:hAnsi="Times New Roman" w:cs="Times New Roman"/>
        </w:rPr>
        <w:t>The statute expressly contemplates that a company may, by its articles, confer further functions on the statutory audit committee</w:t>
      </w:r>
      <w:r w:rsidR="00AA148B" w:rsidRPr="00640D42">
        <w:rPr>
          <w:rFonts w:ascii="Times New Roman" w:hAnsi="Times New Roman" w:cs="Times New Roman"/>
          <w:b/>
          <w:bCs/>
        </w:rPr>
        <w:t>.</w:t>
      </w:r>
      <w:r w:rsidR="00AA148B" w:rsidRPr="00640D42">
        <w:rPr>
          <w:rFonts w:ascii="Times New Roman" w:hAnsi="Times New Roman" w:cs="Times New Roman"/>
        </w:rPr>
        <w:t xml:space="preserve"> Section 7.8 returns to this.</w:t>
      </w:r>
    </w:p>
    <w:p w14:paraId="17118C68" w14:textId="48DEFEFA"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 xml:space="preserve">The </w:t>
      </w:r>
      <w:r w:rsidR="00BD6A50">
        <w:rPr>
          <w:rFonts w:ascii="Times New Roman" w:hAnsi="Times New Roman" w:cs="Times New Roman"/>
          <w:b/>
          <w:bCs/>
        </w:rPr>
        <w:t>B</w:t>
      </w:r>
      <w:r w:rsidRPr="00640D42">
        <w:rPr>
          <w:rFonts w:ascii="Times New Roman" w:hAnsi="Times New Roman" w:cs="Times New Roman"/>
          <w:b/>
          <w:bCs/>
        </w:rPr>
        <w:t>oard Audit Committee</w:t>
      </w:r>
      <w:r w:rsidRPr="00640D42">
        <w:rPr>
          <w:rFonts w:ascii="Times New Roman" w:hAnsi="Times New Roman" w:cs="Times New Roman"/>
        </w:rPr>
        <w:t xml:space="preserve"> is constituted under the Nigerian Code of Corporate Governance 2018 (FRC Nigeria, 2018). It is a committee of the board, appointed by the board, and accountable to it. It should comprise at least </w:t>
      </w:r>
      <w:r w:rsidR="00F51D20">
        <w:rPr>
          <w:rFonts w:ascii="Times New Roman" w:hAnsi="Times New Roman" w:cs="Times New Roman"/>
        </w:rPr>
        <w:t>3</w:t>
      </w:r>
      <w:r w:rsidRPr="00640D42">
        <w:rPr>
          <w:rFonts w:ascii="Times New Roman" w:hAnsi="Times New Roman" w:cs="Times New Roman"/>
        </w:rPr>
        <w:t xml:space="preserve"> members</w:t>
      </w:r>
      <w:r w:rsidR="00B7490F" w:rsidRPr="00640D42">
        <w:rPr>
          <w:rFonts w:ascii="Times New Roman" w:hAnsi="Times New Roman" w:cs="Times New Roman"/>
        </w:rPr>
        <w:t xml:space="preserve">, all non-executive directors, with </w:t>
      </w:r>
      <w:r w:rsidRPr="00640D42">
        <w:rPr>
          <w:rFonts w:ascii="Times New Roman" w:hAnsi="Times New Roman" w:cs="Times New Roman"/>
        </w:rPr>
        <w:t xml:space="preserve">a majority of them independent where possible (NCCG 11.1, 11.4). </w:t>
      </w:r>
      <w:r w:rsidRPr="00640D42">
        <w:rPr>
          <w:rFonts w:ascii="Times New Roman" w:hAnsi="Times New Roman" w:cs="Times New Roman"/>
          <w:b/>
          <w:bCs/>
        </w:rPr>
        <w:t xml:space="preserve">Only directors may </w:t>
      </w:r>
      <w:r w:rsidR="00B7490F" w:rsidRPr="00640D42">
        <w:rPr>
          <w:rFonts w:ascii="Times New Roman" w:hAnsi="Times New Roman" w:cs="Times New Roman"/>
          <w:b/>
          <w:bCs/>
        </w:rPr>
        <w:t>serve on a board committee (NCCG 11.1.2), so a shareholder representative cannot serve</w:t>
      </w:r>
      <w:r w:rsidRPr="00640D42">
        <w:rPr>
          <w:rFonts w:ascii="Times New Roman" w:hAnsi="Times New Roman" w:cs="Times New Roman"/>
          <w:b/>
          <w:bCs/>
        </w:rPr>
        <w:t xml:space="preserve"> on it.</w:t>
      </w:r>
      <w:r w:rsidRPr="00640D42">
        <w:rPr>
          <w:rFonts w:ascii="Times New Roman" w:hAnsi="Times New Roman" w:cs="Times New Roman"/>
        </w:rPr>
        <w:t xml:space="preserve"> Its members should all be financially literate, and </w:t>
      </w:r>
      <w:r w:rsidRPr="00640D42">
        <w:rPr>
          <w:rFonts w:ascii="Times New Roman" w:hAnsi="Times New Roman" w:cs="Times New Roman"/>
        </w:rPr>
        <w:lastRenderedPageBreak/>
        <w:t>at least one should be a financial expert with current knowledge in accounting and financial management (NCCG 11.4.2).</w:t>
      </w:r>
    </w:p>
    <w:p w14:paraId="17443B24" w14:textId="0738528A"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The competence requirements of the two bodies differ in force and in kind. CAMA s. 404(5) provides that all members of the statutory committee </w:t>
      </w:r>
      <w:r w:rsidRPr="00640D42">
        <w:rPr>
          <w:rFonts w:ascii="Times New Roman" w:hAnsi="Times New Roman" w:cs="Times New Roman"/>
          <w:b/>
          <w:bCs/>
        </w:rPr>
        <w:t>shall</w:t>
      </w:r>
      <w:r w:rsidRPr="00640D42">
        <w:rPr>
          <w:rFonts w:ascii="Times New Roman" w:hAnsi="Times New Roman" w:cs="Times New Roman"/>
        </w:rPr>
        <w:t xml:space="preserve"> be financially literate and that at least one </w:t>
      </w:r>
      <w:r w:rsidRPr="00640D42">
        <w:rPr>
          <w:rFonts w:ascii="Times New Roman" w:hAnsi="Times New Roman" w:cs="Times New Roman"/>
          <w:b/>
          <w:bCs/>
        </w:rPr>
        <w:t>shall</w:t>
      </w:r>
      <w:r w:rsidRPr="00640D42">
        <w:rPr>
          <w:rFonts w:ascii="Times New Roman" w:hAnsi="Times New Roman" w:cs="Times New Roman"/>
        </w:rPr>
        <w:t xml:space="preserve"> </w:t>
      </w:r>
      <w:r w:rsidR="00B7490F" w:rsidRPr="00640D42">
        <w:rPr>
          <w:rFonts w:ascii="Times New Roman" w:hAnsi="Times New Roman" w:cs="Times New Roman"/>
        </w:rPr>
        <w:t>be a member of</w:t>
      </w:r>
      <w:r w:rsidRPr="00640D42">
        <w:rPr>
          <w:rFonts w:ascii="Times New Roman" w:hAnsi="Times New Roman" w:cs="Times New Roman"/>
        </w:rPr>
        <w:t xml:space="preserve"> a professional accounting body in Nigeria established by an Act of the National Assembly. The Code’s equivalent is a recommendation under an “apply and explain” philosophy, and its “financial expert” is a description rather than a credential. </w:t>
      </w:r>
      <w:r w:rsidRPr="00640D42">
        <w:rPr>
          <w:rFonts w:ascii="Times New Roman" w:hAnsi="Times New Roman" w:cs="Times New Roman"/>
          <w:b/>
          <w:bCs/>
        </w:rPr>
        <w:t>On the face of the two instruments, the statutory committee carries the stronger and more formally credentialled competence requirement, and it is the only one whose competence is mandated by statute.</w:t>
      </w:r>
    </w:p>
    <w:tbl>
      <w:tblPr>
        <w:tblStyle w:val="Table"/>
        <w:tblW w:w="5000" w:type="pct"/>
        <w:tblLook w:val="0020" w:firstRow="1" w:lastRow="0" w:firstColumn="0" w:lastColumn="0" w:noHBand="0" w:noVBand="0"/>
      </w:tblPr>
      <w:tblGrid>
        <w:gridCol w:w="1824"/>
        <w:gridCol w:w="3808"/>
        <w:gridCol w:w="4448"/>
      </w:tblGrid>
      <w:tr w:rsidR="00AA148B" w:rsidRPr="00640D42" w14:paraId="12A9EF55" w14:textId="77777777" w:rsidTr="00F277AC">
        <w:trPr>
          <w:cnfStyle w:val="100000000000" w:firstRow="1" w:lastRow="0" w:firstColumn="0" w:lastColumn="0" w:oddVBand="0" w:evenVBand="0" w:oddHBand="0" w:evenHBand="0" w:firstRowFirstColumn="0" w:firstRowLastColumn="0" w:lastRowFirstColumn="0" w:lastRowLastColumn="0"/>
          <w:tblHeader/>
        </w:trPr>
        <w:tc>
          <w:tcPr>
            <w:tcW w:w="0" w:type="auto"/>
          </w:tcPr>
          <w:p w14:paraId="2F9D80E3" w14:textId="77777777" w:rsidR="00AA148B" w:rsidRPr="00640D42" w:rsidRDefault="00AA148B" w:rsidP="00B7490F">
            <w:pPr>
              <w:pStyle w:val="Compact"/>
              <w:jc w:val="both"/>
              <w:rPr>
                <w:rFonts w:ascii="Times New Roman" w:hAnsi="Times New Roman" w:cs="Times New Roman"/>
                <w:b/>
                <w:bCs/>
                <w:sz w:val="20"/>
                <w:szCs w:val="20"/>
              </w:rPr>
            </w:pPr>
          </w:p>
        </w:tc>
        <w:tc>
          <w:tcPr>
            <w:tcW w:w="0" w:type="auto"/>
          </w:tcPr>
          <w:p w14:paraId="48664FC5" w14:textId="4681B6D0" w:rsidR="00AA148B" w:rsidRPr="00640D42" w:rsidRDefault="00AA148B" w:rsidP="00B7490F">
            <w:pPr>
              <w:pStyle w:val="Compact"/>
              <w:jc w:val="both"/>
              <w:rPr>
                <w:rFonts w:ascii="Times New Roman" w:hAnsi="Times New Roman" w:cs="Times New Roman"/>
                <w:b/>
                <w:bCs/>
                <w:sz w:val="20"/>
                <w:szCs w:val="20"/>
              </w:rPr>
            </w:pPr>
            <w:r w:rsidRPr="00640D42">
              <w:rPr>
                <w:rFonts w:ascii="Times New Roman" w:hAnsi="Times New Roman" w:cs="Times New Roman"/>
                <w:b/>
                <w:bCs/>
                <w:sz w:val="20"/>
                <w:szCs w:val="20"/>
              </w:rPr>
              <w:t xml:space="preserve">Statutory </w:t>
            </w:r>
            <w:r w:rsidR="00F70612">
              <w:rPr>
                <w:rFonts w:ascii="Times New Roman" w:hAnsi="Times New Roman" w:cs="Times New Roman"/>
                <w:b/>
                <w:bCs/>
                <w:sz w:val="20"/>
                <w:szCs w:val="20"/>
              </w:rPr>
              <w:t>Audit Committee</w:t>
            </w:r>
          </w:p>
        </w:tc>
        <w:tc>
          <w:tcPr>
            <w:tcW w:w="0" w:type="auto"/>
          </w:tcPr>
          <w:p w14:paraId="180F011A" w14:textId="77777777" w:rsidR="00AA148B" w:rsidRPr="00640D42" w:rsidRDefault="00AA148B" w:rsidP="00B7490F">
            <w:pPr>
              <w:pStyle w:val="Compact"/>
              <w:jc w:val="both"/>
              <w:rPr>
                <w:rFonts w:ascii="Times New Roman" w:hAnsi="Times New Roman" w:cs="Times New Roman"/>
                <w:b/>
                <w:bCs/>
                <w:sz w:val="20"/>
                <w:szCs w:val="20"/>
              </w:rPr>
            </w:pPr>
            <w:r w:rsidRPr="00640D42">
              <w:rPr>
                <w:rFonts w:ascii="Times New Roman" w:hAnsi="Times New Roman" w:cs="Times New Roman"/>
                <w:b/>
                <w:bCs/>
                <w:sz w:val="20"/>
                <w:szCs w:val="20"/>
              </w:rPr>
              <w:t>Board Audit Committee</w:t>
            </w:r>
          </w:p>
        </w:tc>
      </w:tr>
      <w:tr w:rsidR="00AA148B" w:rsidRPr="00640D42" w14:paraId="4B3DFFE6" w14:textId="77777777" w:rsidTr="00F277AC">
        <w:tc>
          <w:tcPr>
            <w:tcW w:w="0" w:type="auto"/>
          </w:tcPr>
          <w:p w14:paraId="1C4F3BCA"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Source</w:t>
            </w:r>
          </w:p>
        </w:tc>
        <w:tc>
          <w:tcPr>
            <w:tcW w:w="0" w:type="auto"/>
          </w:tcPr>
          <w:p w14:paraId="26B578CB"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CAMA 2020, s. 404</w:t>
            </w:r>
          </w:p>
        </w:tc>
        <w:tc>
          <w:tcPr>
            <w:tcW w:w="0" w:type="auto"/>
          </w:tcPr>
          <w:p w14:paraId="1AE7D75E"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NCCG 2018</w:t>
            </w:r>
          </w:p>
        </w:tc>
      </w:tr>
      <w:tr w:rsidR="00AA148B" w:rsidRPr="00640D42" w14:paraId="458A8FA3" w14:textId="77777777" w:rsidTr="00F277AC">
        <w:tc>
          <w:tcPr>
            <w:tcW w:w="0" w:type="auto"/>
          </w:tcPr>
          <w:p w14:paraId="248EF0B9"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Appointment</w:t>
            </w:r>
          </w:p>
        </w:tc>
        <w:tc>
          <w:tcPr>
            <w:tcW w:w="0" w:type="auto"/>
          </w:tcPr>
          <w:p w14:paraId="1AB5BEB4"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Elected annually by shareholders (s. 404(3))</w:t>
            </w:r>
          </w:p>
        </w:tc>
        <w:tc>
          <w:tcPr>
            <w:tcW w:w="0" w:type="auto"/>
          </w:tcPr>
          <w:p w14:paraId="4961BC88"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Appointed by the board</w:t>
            </w:r>
          </w:p>
        </w:tc>
      </w:tr>
      <w:tr w:rsidR="00AA148B" w:rsidRPr="00640D42" w14:paraId="78982B54" w14:textId="77777777" w:rsidTr="00F277AC">
        <w:tc>
          <w:tcPr>
            <w:tcW w:w="0" w:type="auto"/>
          </w:tcPr>
          <w:p w14:paraId="6FB53F12"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Composition</w:t>
            </w:r>
          </w:p>
        </w:tc>
        <w:tc>
          <w:tcPr>
            <w:tcW w:w="0" w:type="auto"/>
          </w:tcPr>
          <w:p w14:paraId="17419419" w14:textId="4E058D48" w:rsidR="00AA148B" w:rsidRPr="00640D42" w:rsidRDefault="00F51D20" w:rsidP="00B7490F">
            <w:pPr>
              <w:pStyle w:val="Compact"/>
              <w:jc w:val="both"/>
              <w:rPr>
                <w:rFonts w:ascii="Times New Roman" w:hAnsi="Times New Roman" w:cs="Times New Roman"/>
                <w:sz w:val="20"/>
                <w:szCs w:val="20"/>
              </w:rPr>
            </w:pPr>
            <w:r>
              <w:rPr>
                <w:rFonts w:ascii="Times New Roman" w:hAnsi="Times New Roman" w:cs="Times New Roman"/>
                <w:sz w:val="20"/>
                <w:szCs w:val="20"/>
              </w:rPr>
              <w:t>3</w:t>
            </w:r>
            <w:r w:rsidR="00AA148B" w:rsidRPr="00640D42">
              <w:rPr>
                <w:rFonts w:ascii="Times New Roman" w:hAnsi="Times New Roman" w:cs="Times New Roman"/>
                <w:sz w:val="20"/>
                <w:szCs w:val="20"/>
              </w:rPr>
              <w:t xml:space="preserve"> shareholders, two NEDs (s. 404(3))</w:t>
            </w:r>
          </w:p>
        </w:tc>
        <w:tc>
          <w:tcPr>
            <w:tcW w:w="0" w:type="auto"/>
          </w:tcPr>
          <w:p w14:paraId="49DB2E9D"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Non-executive directors</w:t>
            </w:r>
          </w:p>
        </w:tc>
      </w:tr>
      <w:tr w:rsidR="00AA148B" w:rsidRPr="00640D42" w14:paraId="117F3CAB" w14:textId="77777777" w:rsidTr="00F277AC">
        <w:tc>
          <w:tcPr>
            <w:tcW w:w="0" w:type="auto"/>
          </w:tcPr>
          <w:p w14:paraId="00C31DBF"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Remuneration</w:t>
            </w:r>
          </w:p>
        </w:tc>
        <w:tc>
          <w:tcPr>
            <w:tcW w:w="0" w:type="auto"/>
          </w:tcPr>
          <w:p w14:paraId="5858CEF9"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None (s. 404(3))</w:t>
            </w:r>
          </w:p>
        </w:tc>
        <w:tc>
          <w:tcPr>
            <w:tcW w:w="0" w:type="auto"/>
          </w:tcPr>
          <w:p w14:paraId="62091533"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As set by the board</w:t>
            </w:r>
          </w:p>
        </w:tc>
      </w:tr>
      <w:tr w:rsidR="00AA148B" w:rsidRPr="00640D42" w14:paraId="1924ADB8" w14:textId="77777777" w:rsidTr="00F277AC">
        <w:tc>
          <w:tcPr>
            <w:tcW w:w="0" w:type="auto"/>
          </w:tcPr>
          <w:p w14:paraId="59471841"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Removal</w:t>
            </w:r>
          </w:p>
        </w:tc>
        <w:tc>
          <w:tcPr>
            <w:tcW w:w="0" w:type="auto"/>
          </w:tcPr>
          <w:p w14:paraId="177A4EEE"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Not by the board</w:t>
            </w:r>
          </w:p>
        </w:tc>
        <w:tc>
          <w:tcPr>
            <w:tcW w:w="0" w:type="auto"/>
          </w:tcPr>
          <w:p w14:paraId="4A32C7B8"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By the board</w:t>
            </w:r>
          </w:p>
        </w:tc>
      </w:tr>
      <w:tr w:rsidR="00AA148B" w:rsidRPr="00640D42" w14:paraId="3105C97E" w14:textId="77777777" w:rsidTr="00F277AC">
        <w:tc>
          <w:tcPr>
            <w:tcW w:w="0" w:type="auto"/>
          </w:tcPr>
          <w:p w14:paraId="2F293773"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Reports to</w:t>
            </w:r>
          </w:p>
        </w:tc>
        <w:tc>
          <w:tcPr>
            <w:tcW w:w="0" w:type="auto"/>
          </w:tcPr>
          <w:p w14:paraId="5B40F4D1"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The annual general meeting (s. 404(4))</w:t>
            </w:r>
          </w:p>
        </w:tc>
        <w:tc>
          <w:tcPr>
            <w:tcW w:w="0" w:type="auto"/>
          </w:tcPr>
          <w:p w14:paraId="65FCDF0C"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The board</w:t>
            </w:r>
          </w:p>
        </w:tc>
      </w:tr>
      <w:tr w:rsidR="00AA148B" w:rsidRPr="00640D42" w14:paraId="1DB18E60" w14:textId="77777777" w:rsidTr="00F277AC">
        <w:tc>
          <w:tcPr>
            <w:tcW w:w="0" w:type="auto"/>
          </w:tcPr>
          <w:p w14:paraId="460FC376"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Eligibility</w:t>
            </w:r>
          </w:p>
        </w:tc>
        <w:tc>
          <w:tcPr>
            <w:tcW w:w="0" w:type="auto"/>
          </w:tcPr>
          <w:p w14:paraId="65CA53CA"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Shareholders and NEDs</w:t>
            </w:r>
          </w:p>
        </w:tc>
        <w:tc>
          <w:tcPr>
            <w:tcW w:w="0" w:type="auto"/>
          </w:tcPr>
          <w:p w14:paraId="1DFD68FE"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b/>
                <w:bCs/>
                <w:sz w:val="20"/>
                <w:szCs w:val="20"/>
              </w:rPr>
              <w:t>Directors only (NCCG 11.1.2)</w:t>
            </w:r>
          </w:p>
        </w:tc>
      </w:tr>
      <w:tr w:rsidR="00AA148B" w:rsidRPr="00640D42" w14:paraId="0D7F185E" w14:textId="77777777" w:rsidTr="00F277AC">
        <w:tc>
          <w:tcPr>
            <w:tcW w:w="0" w:type="auto"/>
          </w:tcPr>
          <w:p w14:paraId="3FAFB1E5"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Competence floor</w:t>
            </w:r>
          </w:p>
        </w:tc>
        <w:tc>
          <w:tcPr>
            <w:tcW w:w="0" w:type="auto"/>
          </w:tcPr>
          <w:p w14:paraId="524880CC"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All financially literate; one a member of ICAN or ANAN (s. 404(5))</w:t>
            </w:r>
          </w:p>
        </w:tc>
        <w:tc>
          <w:tcPr>
            <w:tcW w:w="0" w:type="auto"/>
          </w:tcPr>
          <w:p w14:paraId="4281ED72"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All should be financially literate; one should be a “financial expert” (NCCG 11.4.2)</w:t>
            </w:r>
          </w:p>
        </w:tc>
      </w:tr>
      <w:tr w:rsidR="00AA148B" w:rsidRPr="00640D42" w14:paraId="1311131A" w14:textId="77777777" w:rsidTr="00F277AC">
        <w:tc>
          <w:tcPr>
            <w:tcW w:w="0" w:type="auto"/>
          </w:tcPr>
          <w:p w14:paraId="5FD67B7A" w14:textId="0AA93062" w:rsidR="00AA148B" w:rsidRPr="00420805" w:rsidRDefault="00811A2A"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The force</w:t>
            </w:r>
            <w:r w:rsidR="00AA148B" w:rsidRPr="00420805">
              <w:rPr>
                <w:rFonts w:ascii="Times New Roman" w:hAnsi="Times New Roman" w:cs="Times New Roman"/>
                <w:b/>
                <w:bCs/>
                <w:sz w:val="20"/>
                <w:szCs w:val="20"/>
              </w:rPr>
              <w:t xml:space="preserve"> of that floor</w:t>
            </w:r>
          </w:p>
        </w:tc>
        <w:tc>
          <w:tcPr>
            <w:tcW w:w="0" w:type="auto"/>
          </w:tcPr>
          <w:p w14:paraId="424BF367"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b/>
                <w:bCs/>
                <w:sz w:val="20"/>
                <w:szCs w:val="20"/>
              </w:rPr>
              <w:t>Statutory, mandatory (“shall”)</w:t>
            </w:r>
          </w:p>
        </w:tc>
        <w:tc>
          <w:tcPr>
            <w:tcW w:w="0" w:type="auto"/>
          </w:tcPr>
          <w:p w14:paraId="76C58876"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Code, apply-and-explain (“should”)</w:t>
            </w:r>
          </w:p>
        </w:tc>
      </w:tr>
      <w:tr w:rsidR="00AA148B" w:rsidRPr="00640D42" w14:paraId="541C6C3E" w14:textId="77777777" w:rsidTr="00F277AC">
        <w:tc>
          <w:tcPr>
            <w:tcW w:w="0" w:type="auto"/>
          </w:tcPr>
          <w:p w14:paraId="11168638"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Functions</w:t>
            </w:r>
          </w:p>
        </w:tc>
        <w:tc>
          <w:tcPr>
            <w:tcW w:w="0" w:type="auto"/>
          </w:tcPr>
          <w:p w14:paraId="2827C78B"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Six, all financial (s. 404(7))</w:t>
            </w:r>
          </w:p>
        </w:tc>
        <w:tc>
          <w:tcPr>
            <w:tcW w:w="0" w:type="auto"/>
          </w:tcPr>
          <w:p w14:paraId="191EF7FD" w14:textId="17B1DA46"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 xml:space="preserve">As set by </w:t>
            </w:r>
            <w:r w:rsidR="00811A2A" w:rsidRPr="00640D42">
              <w:rPr>
                <w:rFonts w:ascii="Times New Roman" w:hAnsi="Times New Roman" w:cs="Times New Roman"/>
                <w:sz w:val="20"/>
                <w:szCs w:val="20"/>
              </w:rPr>
              <w:t xml:space="preserve">the </w:t>
            </w:r>
            <w:r w:rsidRPr="00640D42">
              <w:rPr>
                <w:rFonts w:ascii="Times New Roman" w:hAnsi="Times New Roman" w:cs="Times New Roman"/>
                <w:sz w:val="20"/>
                <w:szCs w:val="20"/>
              </w:rPr>
              <w:t>board mandate</w:t>
            </w:r>
          </w:p>
        </w:tc>
      </w:tr>
      <w:tr w:rsidR="00AA148B" w:rsidRPr="00640D42" w14:paraId="15673D4F" w14:textId="77777777" w:rsidTr="00F277AC">
        <w:tc>
          <w:tcPr>
            <w:tcW w:w="0" w:type="auto"/>
          </w:tcPr>
          <w:p w14:paraId="61715D5D"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Extensible?</w:t>
            </w:r>
          </w:p>
        </w:tc>
        <w:tc>
          <w:tcPr>
            <w:tcW w:w="0" w:type="auto"/>
          </w:tcPr>
          <w:p w14:paraId="5517A6A1"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b/>
                <w:bCs/>
                <w:sz w:val="20"/>
                <w:szCs w:val="20"/>
              </w:rPr>
              <w:t>Yes, by the articles (s. 404(7))</w:t>
            </w:r>
          </w:p>
        </w:tc>
        <w:tc>
          <w:tcPr>
            <w:tcW w:w="0" w:type="auto"/>
          </w:tcPr>
          <w:p w14:paraId="07605345"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Yes, by board mandate</w:t>
            </w:r>
          </w:p>
        </w:tc>
      </w:tr>
      <w:tr w:rsidR="00AA148B" w:rsidRPr="00640D42" w14:paraId="2E06C31D" w14:textId="77777777" w:rsidTr="00F277AC">
        <w:tc>
          <w:tcPr>
            <w:tcW w:w="0" w:type="auto"/>
          </w:tcPr>
          <w:p w14:paraId="34A7BEDD" w14:textId="77777777" w:rsidR="00AA148B" w:rsidRPr="00420805" w:rsidRDefault="00AA148B" w:rsidP="00B7490F">
            <w:pPr>
              <w:pStyle w:val="Compact"/>
              <w:jc w:val="both"/>
              <w:rPr>
                <w:rFonts w:ascii="Times New Roman" w:hAnsi="Times New Roman" w:cs="Times New Roman"/>
                <w:b/>
                <w:bCs/>
                <w:sz w:val="20"/>
                <w:szCs w:val="20"/>
              </w:rPr>
            </w:pPr>
            <w:r w:rsidRPr="00420805">
              <w:rPr>
                <w:rFonts w:ascii="Times New Roman" w:hAnsi="Times New Roman" w:cs="Times New Roman"/>
                <w:b/>
                <w:bCs/>
                <w:sz w:val="20"/>
                <w:szCs w:val="20"/>
              </w:rPr>
              <w:t>Size</w:t>
            </w:r>
          </w:p>
        </w:tc>
        <w:tc>
          <w:tcPr>
            <w:tcW w:w="0" w:type="auto"/>
          </w:tcPr>
          <w:p w14:paraId="225202D9" w14:textId="77777777"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Fixed at five (s. 404(3))</w:t>
            </w:r>
          </w:p>
        </w:tc>
        <w:tc>
          <w:tcPr>
            <w:tcW w:w="0" w:type="auto"/>
          </w:tcPr>
          <w:p w14:paraId="3F43FB26" w14:textId="062A74E3" w:rsidR="00AA148B" w:rsidRPr="00640D42" w:rsidRDefault="00AA148B" w:rsidP="00B7490F">
            <w:pPr>
              <w:pStyle w:val="Compact"/>
              <w:jc w:val="both"/>
              <w:rPr>
                <w:rFonts w:ascii="Times New Roman" w:hAnsi="Times New Roman" w:cs="Times New Roman"/>
                <w:sz w:val="20"/>
                <w:szCs w:val="20"/>
              </w:rPr>
            </w:pPr>
            <w:r w:rsidRPr="00640D42">
              <w:rPr>
                <w:rFonts w:ascii="Times New Roman" w:hAnsi="Times New Roman" w:cs="Times New Roman"/>
                <w:sz w:val="20"/>
                <w:szCs w:val="20"/>
              </w:rPr>
              <w:t xml:space="preserve">At least </w:t>
            </w:r>
            <w:r w:rsidR="00F51D20">
              <w:rPr>
                <w:rFonts w:ascii="Times New Roman" w:hAnsi="Times New Roman" w:cs="Times New Roman"/>
                <w:sz w:val="20"/>
                <w:szCs w:val="20"/>
              </w:rPr>
              <w:t>3</w:t>
            </w:r>
            <w:r w:rsidRPr="00640D42">
              <w:rPr>
                <w:rFonts w:ascii="Times New Roman" w:hAnsi="Times New Roman" w:cs="Times New Roman"/>
                <w:sz w:val="20"/>
                <w:szCs w:val="20"/>
              </w:rPr>
              <w:t>; not capped</w:t>
            </w:r>
          </w:p>
        </w:tc>
      </w:tr>
    </w:tbl>
    <w:p w14:paraId="5477EF00" w14:textId="37F67F90" w:rsidR="00AA148B" w:rsidRPr="00640D42" w:rsidRDefault="00E33DB9" w:rsidP="00AA148B">
      <w:pPr>
        <w:pStyle w:val="BodyText"/>
        <w:spacing w:line="360" w:lineRule="auto"/>
        <w:jc w:val="both"/>
        <w:rPr>
          <w:rFonts w:ascii="Times New Roman" w:hAnsi="Times New Roman" w:cs="Times New Roman"/>
        </w:rPr>
      </w:pPr>
      <w:r w:rsidRPr="00640D42">
        <w:rPr>
          <w:rFonts w:ascii="Times New Roman" w:hAnsi="Times New Roman" w:cs="Times New Roman"/>
        </w:rPr>
        <w:t>A non-executive director may sit on both board</w:t>
      </w:r>
      <w:r w:rsidR="00420805">
        <w:rPr>
          <w:rFonts w:ascii="Times New Roman" w:hAnsi="Times New Roman" w:cs="Times New Roman"/>
        </w:rPr>
        <w:t>s, and a</w:t>
      </w:r>
      <w:r w:rsidRPr="00640D42">
        <w:rPr>
          <w:rFonts w:ascii="Times New Roman" w:hAnsi="Times New Roman" w:cs="Times New Roman"/>
        </w:rPr>
        <w:t xml:space="preserve"> shareholder representative may sit only on the statutory committee because the board committee is composed of directors, and a shareholder representative is not.</w:t>
      </w:r>
    </w:p>
    <w:p w14:paraId="1818A713" w14:textId="2433D20F" w:rsidR="00AA148B" w:rsidRPr="00640D42" w:rsidRDefault="00CA3481" w:rsidP="00AA148B">
      <w:pPr>
        <w:pStyle w:val="Heading3"/>
        <w:spacing w:line="360" w:lineRule="auto"/>
        <w:jc w:val="both"/>
        <w:rPr>
          <w:b/>
          <w:bCs/>
          <w:color w:val="auto"/>
        </w:rPr>
      </w:pPr>
      <w:bookmarkStart w:id="7" w:name="Xc3eda2c76caf7f4f8515148b38d2d8638e24da7"/>
      <w:bookmarkEnd w:id="6"/>
      <w:r>
        <w:rPr>
          <w:b/>
          <w:bCs/>
          <w:color w:val="auto"/>
        </w:rPr>
        <w:t>6</w:t>
      </w:r>
      <w:r w:rsidR="00AA148B" w:rsidRPr="00640D42">
        <w:rPr>
          <w:b/>
          <w:bCs/>
          <w:color w:val="auto"/>
        </w:rPr>
        <w:t>.2 Why the statutory committee exists, and why it matters here</w:t>
      </w:r>
    </w:p>
    <w:p w14:paraId="04CE2FBD" w14:textId="0204A990" w:rsidR="00AA148B" w:rsidRPr="00640D42" w:rsidRDefault="00E33DB9"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The statutory audit committee was not an accident of drafting</w:t>
      </w:r>
      <w:r w:rsidR="00420805">
        <w:rPr>
          <w:rFonts w:ascii="Times New Roman" w:hAnsi="Times New Roman" w:cs="Times New Roman"/>
        </w:rPr>
        <w:t xml:space="preserve"> but </w:t>
      </w:r>
      <w:r w:rsidRPr="00640D42">
        <w:rPr>
          <w:rFonts w:ascii="Times New Roman" w:hAnsi="Times New Roman" w:cs="Times New Roman"/>
        </w:rPr>
        <w:t>a deliberate shareholder protection device and one of the few genuinely distinctive features of Nigerian company law.</w:t>
      </w:r>
    </w:p>
    <w:p w14:paraId="750A2319" w14:textId="30487431"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Its logic is plain</w:t>
      </w:r>
      <w:r w:rsidR="00811A2A" w:rsidRPr="00640D42">
        <w:rPr>
          <w:rFonts w:ascii="Times New Roman" w:hAnsi="Times New Roman" w:cs="Times New Roman"/>
        </w:rPr>
        <w:t>:</w:t>
      </w:r>
      <w:r w:rsidRPr="00640D42">
        <w:rPr>
          <w:rFonts w:ascii="Times New Roman" w:hAnsi="Times New Roman" w:cs="Times New Roman"/>
        </w:rPr>
        <w:t xml:space="preserve"> A board-appointed audit committee is a committee of the body it exists to scrutinise. </w:t>
      </w:r>
      <w:r w:rsidR="00D644E1">
        <w:rPr>
          <w:rFonts w:ascii="Times New Roman" w:hAnsi="Times New Roman" w:cs="Times New Roman"/>
        </w:rPr>
        <w:t>The board appoints its members; they can be removed by the board</w:t>
      </w:r>
      <w:r w:rsidR="00ED0CA1" w:rsidRPr="00640D42">
        <w:rPr>
          <w:rFonts w:ascii="Times New Roman" w:hAnsi="Times New Roman" w:cs="Times New Roman"/>
        </w:rPr>
        <w:t xml:space="preserve"> and are drawn from i</w:t>
      </w:r>
      <w:r w:rsidR="006D24DF">
        <w:rPr>
          <w:rFonts w:ascii="Times New Roman" w:hAnsi="Times New Roman" w:cs="Times New Roman"/>
        </w:rPr>
        <w:t>t; and w</w:t>
      </w:r>
      <w:r w:rsidRPr="00640D42">
        <w:rPr>
          <w:rFonts w:ascii="Times New Roman" w:hAnsi="Times New Roman" w:cs="Times New Roman"/>
        </w:rPr>
        <w:t>hatever independence it has is independence granted rather than independence held.</w:t>
      </w:r>
    </w:p>
    <w:p w14:paraId="20F17430" w14:textId="0C51A7DD" w:rsidR="00AA148B" w:rsidRPr="00640D42" w:rsidRDefault="00ED0CA1" w:rsidP="00AA148B">
      <w:pPr>
        <w:pStyle w:val="BodyText"/>
        <w:spacing w:line="360" w:lineRule="auto"/>
        <w:jc w:val="both"/>
        <w:rPr>
          <w:rFonts w:ascii="Times New Roman" w:hAnsi="Times New Roman" w:cs="Times New Roman"/>
        </w:rPr>
      </w:pPr>
      <w:r w:rsidRPr="00640D42">
        <w:rPr>
          <w:rFonts w:ascii="Times New Roman" w:hAnsi="Times New Roman" w:cs="Times New Roman"/>
        </w:rPr>
        <w:lastRenderedPageBreak/>
        <w:t>The statutory committee answers this question structurally, and the statute is explicit at every step.</w:t>
      </w:r>
      <w:r w:rsidR="00AA148B" w:rsidRPr="00640D42">
        <w:rPr>
          <w:rFonts w:ascii="Times New Roman" w:hAnsi="Times New Roman" w:cs="Times New Roman"/>
        </w:rPr>
        <w:t xml:space="preserve"> Its shareholder members are elected annually by the general meeting and cannot be removed by the board (s. 404(3)). They are unpaid, which removes the board’s financial hold over them (s. 404(3))</w:t>
      </w:r>
      <w:r w:rsidR="007F4FDF">
        <w:rPr>
          <w:rFonts w:ascii="Times New Roman" w:hAnsi="Times New Roman" w:cs="Times New Roman"/>
        </w:rPr>
        <w:t xml:space="preserve">, and they </w:t>
      </w:r>
      <w:r w:rsidRPr="00640D42">
        <w:rPr>
          <w:rFonts w:ascii="Times New Roman" w:hAnsi="Times New Roman" w:cs="Times New Roman"/>
        </w:rPr>
        <w:t>must all be financially literate, and one must be a qualified accountant; therefore, competence is a legislated floor rather than a matter of board discretion (s.</w:t>
      </w:r>
      <w:r w:rsidR="00AA148B" w:rsidRPr="00640D42">
        <w:rPr>
          <w:rFonts w:ascii="Times New Roman" w:hAnsi="Times New Roman" w:cs="Times New Roman"/>
        </w:rPr>
        <w:t xml:space="preserve"> 404(5)). </w:t>
      </w:r>
      <w:r w:rsidRPr="00640D42">
        <w:rPr>
          <w:rFonts w:ascii="Times New Roman" w:hAnsi="Times New Roman" w:cs="Times New Roman"/>
        </w:rPr>
        <w:t xml:space="preserve">Decisively, the committee reports its recommendations </w:t>
      </w:r>
      <w:r w:rsidRPr="00640D42">
        <w:rPr>
          <w:rFonts w:ascii="Times New Roman" w:hAnsi="Times New Roman" w:cs="Times New Roman"/>
          <w:b/>
          <w:bCs/>
        </w:rPr>
        <w:t>to the annual general meeting</w:t>
      </w:r>
      <w:r w:rsidRPr="00640D42">
        <w:rPr>
          <w:rFonts w:ascii="Times New Roman" w:hAnsi="Times New Roman" w:cs="Times New Roman"/>
        </w:rPr>
        <w:t xml:space="preserve"> rather than to the board (s.</w:t>
      </w:r>
      <w:r w:rsidR="00AA148B" w:rsidRPr="00640D42">
        <w:rPr>
          <w:rFonts w:ascii="Times New Roman" w:hAnsi="Times New Roman" w:cs="Times New Roman"/>
        </w:rPr>
        <w:t xml:space="preserve"> 404(4)).</w:t>
      </w:r>
    </w:p>
    <w:p w14:paraId="15849C20" w14:textId="2BC08155" w:rsidR="00AA148B" w:rsidRPr="00640D42" w:rsidRDefault="00ED0CA1" w:rsidP="00AA148B">
      <w:pPr>
        <w:pStyle w:val="BodyText"/>
        <w:spacing w:line="360" w:lineRule="auto"/>
        <w:jc w:val="both"/>
        <w:rPr>
          <w:rFonts w:ascii="Times New Roman" w:hAnsi="Times New Roman" w:cs="Times New Roman"/>
        </w:rPr>
      </w:pPr>
      <w:r w:rsidRPr="00640D42">
        <w:rPr>
          <w:rFonts w:ascii="Times New Roman" w:hAnsi="Times New Roman" w:cs="Times New Roman"/>
        </w:rPr>
        <w:t>Whether the device works in practice is contested, and we take no position on this issue.</w:t>
      </w:r>
      <w:r w:rsidR="00AA148B" w:rsidRPr="00640D42">
        <w:rPr>
          <w:rFonts w:ascii="Times New Roman" w:hAnsi="Times New Roman" w:cs="Times New Roman"/>
        </w:rPr>
        <w:t xml:space="preserve"> </w:t>
      </w:r>
      <w:r w:rsidRPr="00640D42">
        <w:rPr>
          <w:rFonts w:ascii="Times New Roman" w:hAnsi="Times New Roman" w:cs="Times New Roman"/>
        </w:rPr>
        <w:t>What matters is the purpose of the action</w:t>
      </w:r>
      <w:r w:rsidR="007F4FDF">
        <w:rPr>
          <w:rFonts w:ascii="Times New Roman" w:hAnsi="Times New Roman" w:cs="Times New Roman"/>
        </w:rPr>
        <w:t>:</w:t>
      </w:r>
      <w:r w:rsidR="00AA148B" w:rsidRPr="00640D42">
        <w:rPr>
          <w:rFonts w:ascii="Times New Roman" w:hAnsi="Times New Roman" w:cs="Times New Roman"/>
        </w:rPr>
        <w:t xml:space="preserve"> </w:t>
      </w:r>
      <w:r w:rsidR="00AA148B" w:rsidRPr="00640D42">
        <w:rPr>
          <w:rFonts w:ascii="Times New Roman" w:hAnsi="Times New Roman" w:cs="Times New Roman"/>
          <w:b/>
          <w:bCs/>
        </w:rPr>
        <w:t>It exists to give shareholders unmediated oversight of the reporting on which they make decisions</w:t>
      </w:r>
      <w:r w:rsidR="00AA148B" w:rsidRPr="00640D42">
        <w:rPr>
          <w:rFonts w:ascii="Times New Roman" w:hAnsi="Times New Roman" w:cs="Times New Roman"/>
        </w:rPr>
        <w:t xml:space="preserve">. </w:t>
      </w:r>
      <w:r w:rsidRPr="00640D42">
        <w:rPr>
          <w:rFonts w:ascii="Times New Roman" w:hAnsi="Times New Roman" w:cs="Times New Roman"/>
        </w:rPr>
        <w:t>The central innovation of the ISSB standards over earlier frameworks is financial materiality, the requirement to disclose sustainability risks and opportunities that could reasonably be expected to affect an entity’s prospects, cash flows, access to finance and cost of capital.</w:t>
      </w:r>
      <w:r w:rsidR="00AA148B" w:rsidRPr="00640D42">
        <w:rPr>
          <w:rFonts w:ascii="Times New Roman" w:hAnsi="Times New Roman" w:cs="Times New Roman"/>
        </w:rPr>
        <w:t xml:space="preserve"> </w:t>
      </w:r>
      <w:r w:rsidRPr="00B003F3">
        <w:rPr>
          <w:rFonts w:ascii="Times New Roman" w:hAnsi="Times New Roman" w:cs="Times New Roman"/>
          <w:b/>
          <w:bCs/>
        </w:rPr>
        <w:t>Sustainability disclosure under these standards is, in the standard setter’s own framing, information for capital providers</w:t>
      </w:r>
      <w:r w:rsidRPr="00640D42">
        <w:rPr>
          <w:rFonts w:ascii="Times New Roman" w:hAnsi="Times New Roman" w:cs="Times New Roman"/>
        </w:rPr>
        <w:t>.</w:t>
      </w:r>
    </w:p>
    <w:p w14:paraId="1B66373E" w14:textId="7777777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Nigeria therefore has, uniquely among comparable jurisdictions, a statutory body whose constitutional purpose is to give capital providers direct oversight of the information on which they allocate capital, and it is on course to exclude that body from the largest expansion of capital-provider information in a decade.</w:t>
      </w:r>
    </w:p>
    <w:p w14:paraId="39D39893" w14:textId="073AFFA2" w:rsidR="00AA148B" w:rsidRPr="00640D42" w:rsidRDefault="00CA3481" w:rsidP="00AA148B">
      <w:pPr>
        <w:pStyle w:val="Heading3"/>
        <w:spacing w:line="360" w:lineRule="auto"/>
        <w:jc w:val="both"/>
        <w:rPr>
          <w:b/>
          <w:bCs/>
          <w:color w:val="auto"/>
        </w:rPr>
      </w:pPr>
      <w:bookmarkStart w:id="8" w:name="Xacb07b16c7de7b3e9ad35f8b80aa6df68c49de1"/>
      <w:bookmarkEnd w:id="7"/>
      <w:r>
        <w:rPr>
          <w:b/>
          <w:bCs/>
          <w:color w:val="auto"/>
        </w:rPr>
        <w:t>6</w:t>
      </w:r>
      <w:r w:rsidR="00AA148B" w:rsidRPr="00640D42">
        <w:rPr>
          <w:b/>
          <w:bCs/>
          <w:color w:val="auto"/>
        </w:rPr>
        <w:t>.3 The instruments do not name any committee</w:t>
      </w:r>
    </w:p>
    <w:p w14:paraId="2C1D3EB4" w14:textId="5814C3D6" w:rsidR="00AA148B" w:rsidRPr="00640D42" w:rsidRDefault="00ED0CA1" w:rsidP="004F6F1E">
      <w:pPr>
        <w:pStyle w:val="FirstParagraph"/>
        <w:spacing w:line="360" w:lineRule="auto"/>
        <w:jc w:val="both"/>
        <w:rPr>
          <w:rFonts w:ascii="Times New Roman" w:hAnsi="Times New Roman" w:cs="Times New Roman"/>
        </w:rPr>
      </w:pPr>
      <w:r w:rsidRPr="00640D42">
        <w:rPr>
          <w:rFonts w:ascii="Times New Roman" w:hAnsi="Times New Roman" w:cs="Times New Roman"/>
        </w:rPr>
        <w:t>Neither instrument mentioned the audit committee</w:t>
      </w:r>
      <w:r w:rsidR="00533833">
        <w:rPr>
          <w:rFonts w:ascii="Times New Roman" w:hAnsi="Times New Roman" w:cs="Times New Roman"/>
        </w:rPr>
        <w:t xml:space="preserve">, as it </w:t>
      </w:r>
      <w:r w:rsidRPr="00640D42">
        <w:rPr>
          <w:rFonts w:ascii="Times New Roman" w:hAnsi="Times New Roman" w:cs="Times New Roman"/>
        </w:rPr>
        <w:t>does not appear in the Roadmap Report for the Adoption of IFRS Sustainability Disclosure Standards in Nigeria (Amended 2026) or in SRG1 (2026).</w:t>
      </w:r>
      <w:r w:rsidR="00AA148B" w:rsidRPr="00640D42">
        <w:rPr>
          <w:rFonts w:ascii="Times New Roman" w:hAnsi="Times New Roman" w:cs="Times New Roman"/>
        </w:rPr>
        <w:t xml:space="preserve"> Across the two instruments </w:t>
      </w:r>
      <w:r w:rsidR="006302B4" w:rsidRPr="00640D42">
        <w:rPr>
          <w:rFonts w:ascii="Times New Roman" w:hAnsi="Times New Roman" w:cs="Times New Roman"/>
        </w:rPr>
        <w:t xml:space="preserve">governing the adoption of a new reporting regime in a jurisdiction where the audit committee is the statutory organ of reporting oversight and </w:t>
      </w:r>
      <w:r w:rsidR="00AA148B" w:rsidRPr="00640D42">
        <w:rPr>
          <w:rFonts w:ascii="Times New Roman" w:hAnsi="Times New Roman" w:cs="Times New Roman"/>
        </w:rPr>
        <w:t>there are two of them, neither is mentioned once.</w:t>
      </w:r>
      <w:r w:rsidR="004F6F1E">
        <w:rPr>
          <w:rFonts w:ascii="Times New Roman" w:hAnsi="Times New Roman" w:cs="Times New Roman"/>
        </w:rPr>
        <w:t xml:space="preserve"> </w:t>
      </w:r>
      <w:r w:rsidRPr="00640D42">
        <w:rPr>
          <w:rFonts w:ascii="Times New Roman" w:hAnsi="Times New Roman" w:cs="Times New Roman"/>
        </w:rPr>
        <w:t>This is not ambiguous; ambiguity would be a reference to “the audit committee” that failed to distinguish between the two.</w:t>
      </w:r>
      <w:r w:rsidR="00AA148B" w:rsidRPr="00640D42">
        <w:rPr>
          <w:rFonts w:ascii="Times New Roman" w:hAnsi="Times New Roman" w:cs="Times New Roman"/>
        </w:rPr>
        <w:t xml:space="preserve"> What the instruments contain is absence.</w:t>
      </w:r>
    </w:p>
    <w:p w14:paraId="78FB4AEA" w14:textId="03CE4FEA" w:rsidR="00AA148B" w:rsidRPr="00640D42" w:rsidRDefault="00446F3C" w:rsidP="00AA148B">
      <w:pPr>
        <w:pStyle w:val="BodyText"/>
        <w:spacing w:line="360" w:lineRule="auto"/>
        <w:jc w:val="both"/>
        <w:rPr>
          <w:rFonts w:ascii="Times New Roman" w:hAnsi="Times New Roman" w:cs="Times New Roman"/>
        </w:rPr>
      </w:pPr>
      <w:r w:rsidRPr="00640D42">
        <w:rPr>
          <w:rFonts w:ascii="Times New Roman" w:hAnsi="Times New Roman" w:cs="Times New Roman"/>
        </w:rPr>
        <w:t>Instead, they contain generality, as the Roadmap’s governance section requires disclosure of information about the governance body responsible for overseeing sustainability-related risks and opportunities and how the entity’s governance bodies are involved in overseeing and monitoring them (FRC Nigeria, 2026b, §7.2).</w:t>
      </w:r>
      <w:r w:rsidR="00AA148B" w:rsidRPr="00640D42">
        <w:rPr>
          <w:rFonts w:ascii="Times New Roman" w:hAnsi="Times New Roman" w:cs="Times New Roman"/>
        </w:rPr>
        <w:t xml:space="preserve"> The Readiness Test Assessment requires, at its second stage, evidence of the establishment of a governance structure for sustainability reporting (FRC Nigeria, 2026b, §6.3; FRC Nigeria, 2026c, item 14).</w:t>
      </w:r>
    </w:p>
    <w:p w14:paraId="5B75F6CE" w14:textId="2FB6774C" w:rsidR="00AA148B" w:rsidRPr="00640D42" w:rsidRDefault="00446F3C" w:rsidP="00AA148B">
      <w:pPr>
        <w:pStyle w:val="BodyText"/>
        <w:spacing w:line="360" w:lineRule="auto"/>
        <w:jc w:val="both"/>
        <w:rPr>
          <w:rFonts w:ascii="Times New Roman" w:hAnsi="Times New Roman" w:cs="Times New Roman"/>
        </w:rPr>
      </w:pPr>
      <w:r w:rsidRPr="00640D42">
        <w:rPr>
          <w:rFonts w:ascii="Times New Roman" w:hAnsi="Times New Roman" w:cs="Times New Roman"/>
        </w:rPr>
        <w:lastRenderedPageBreak/>
        <w:t>Neither instrument specifies what the structure should be</w:t>
      </w:r>
      <w:r w:rsidR="002F09D9">
        <w:rPr>
          <w:rFonts w:ascii="Times New Roman" w:hAnsi="Times New Roman" w:cs="Times New Roman"/>
        </w:rPr>
        <w:t xml:space="preserve"> </w:t>
      </w:r>
      <w:r w:rsidR="006A0F46">
        <w:rPr>
          <w:rFonts w:ascii="Times New Roman" w:hAnsi="Times New Roman" w:cs="Times New Roman"/>
        </w:rPr>
        <w:t>or</w:t>
      </w:r>
      <w:r w:rsidR="00AA148B" w:rsidRPr="00640D42">
        <w:rPr>
          <w:rFonts w:ascii="Times New Roman" w:hAnsi="Times New Roman" w:cs="Times New Roman"/>
        </w:rPr>
        <w:t xml:space="preserve"> </w:t>
      </w:r>
      <w:r w:rsidR="00F70612">
        <w:rPr>
          <w:rFonts w:ascii="Times New Roman" w:hAnsi="Times New Roman" w:cs="Times New Roman"/>
        </w:rPr>
        <w:t>explains how it relates to the two audit committees already mandated by Nigerian law and the governance code</w:t>
      </w:r>
      <w:r w:rsidR="00AA148B" w:rsidRPr="00640D42">
        <w:rPr>
          <w:rFonts w:ascii="Times New Roman" w:hAnsi="Times New Roman" w:cs="Times New Roman"/>
        </w:rPr>
        <w:t>. The allocation decision is devolved</w:t>
      </w:r>
      <w:r w:rsidR="00F70612">
        <w:rPr>
          <w:rFonts w:ascii="Times New Roman" w:hAnsi="Times New Roman" w:cs="Times New Roman"/>
        </w:rPr>
        <w:t xml:space="preserve"> to every Public Interest Entity in the country without guidance. The</w:t>
      </w:r>
      <w:r w:rsidR="00AA148B" w:rsidRPr="00640D42">
        <w:rPr>
          <w:rFonts w:ascii="Times New Roman" w:hAnsi="Times New Roman" w:cs="Times New Roman"/>
        </w:rPr>
        <w:t xml:space="preserve"> FRC’s definition of a Public Interest Entity is broad: listed entities, regulated non-listed entities, public limited companies, concession entities, government licensees, and any entity with </w:t>
      </w:r>
      <w:r w:rsidR="00A648A5" w:rsidRPr="00640D42">
        <w:rPr>
          <w:rFonts w:ascii="Times New Roman" w:hAnsi="Times New Roman" w:cs="Times New Roman"/>
        </w:rPr>
        <w:t xml:space="preserve">a </w:t>
      </w:r>
      <w:r w:rsidR="00AA148B" w:rsidRPr="00640D42">
        <w:rPr>
          <w:rFonts w:ascii="Times New Roman" w:hAnsi="Times New Roman" w:cs="Times New Roman"/>
        </w:rPr>
        <w:t>turnover of thirty billion naira or above (FRC Nigeria, 2026b, Appendix A).</w:t>
      </w:r>
    </w:p>
    <w:p w14:paraId="578A2A28" w14:textId="6F1D0980" w:rsidR="00AA148B" w:rsidRPr="00640D42" w:rsidRDefault="00CA3481" w:rsidP="00AA148B">
      <w:pPr>
        <w:pStyle w:val="Heading3"/>
        <w:spacing w:line="360" w:lineRule="auto"/>
        <w:jc w:val="both"/>
        <w:rPr>
          <w:b/>
          <w:bCs/>
          <w:color w:val="auto"/>
        </w:rPr>
      </w:pPr>
      <w:bookmarkStart w:id="9" w:name="and-the-signature-goes-to-management"/>
      <w:bookmarkEnd w:id="8"/>
      <w:r>
        <w:rPr>
          <w:b/>
          <w:bCs/>
          <w:color w:val="auto"/>
        </w:rPr>
        <w:t>6</w:t>
      </w:r>
      <w:r w:rsidR="00AA148B" w:rsidRPr="00640D42">
        <w:rPr>
          <w:b/>
          <w:bCs/>
          <w:color w:val="auto"/>
        </w:rPr>
        <w:t>.4 And the signature goes to management</w:t>
      </w:r>
    </w:p>
    <w:p w14:paraId="13AF49B4" w14:textId="4321BD79" w:rsidR="00AA148B" w:rsidRPr="00640D42" w:rsidRDefault="00446F3C" w:rsidP="00FF66B3">
      <w:pPr>
        <w:pStyle w:val="FirstParagraph"/>
        <w:spacing w:line="360" w:lineRule="auto"/>
        <w:jc w:val="both"/>
        <w:rPr>
          <w:rFonts w:ascii="Times New Roman" w:hAnsi="Times New Roman" w:cs="Times New Roman"/>
        </w:rPr>
      </w:pPr>
      <w:r w:rsidRPr="00640D42">
        <w:rPr>
          <w:rFonts w:ascii="Times New Roman" w:hAnsi="Times New Roman" w:cs="Times New Roman"/>
        </w:rPr>
        <w:t>SRG1 resolves this question in a direction that nobody appears to have noticed.</w:t>
      </w:r>
      <w:r w:rsidR="00A648A5" w:rsidRPr="00640D42">
        <w:rPr>
          <w:rFonts w:ascii="Times New Roman" w:hAnsi="Times New Roman" w:cs="Times New Roman"/>
        </w:rPr>
        <w:t xml:space="preserve"> </w:t>
      </w:r>
      <w:r w:rsidRPr="00640D42">
        <w:rPr>
          <w:rFonts w:ascii="Times New Roman" w:hAnsi="Times New Roman" w:cs="Times New Roman"/>
        </w:rPr>
        <w:t>Item 15 provides that, for annual reporting purposes, sustainability disclosures must be signed by a member of the management team who oversees sustainability reporting</w:t>
      </w:r>
      <w:r w:rsidR="00D644E1">
        <w:rPr>
          <w:rFonts w:ascii="Times New Roman" w:hAnsi="Times New Roman" w:cs="Times New Roman"/>
        </w:rPr>
        <w:t xml:space="preserve"> and must include</w:t>
      </w:r>
      <w:r w:rsidRPr="00640D42">
        <w:rPr>
          <w:rFonts w:ascii="Times New Roman" w:hAnsi="Times New Roman" w:cs="Times New Roman"/>
        </w:rPr>
        <w:t xml:space="preserve"> their FRC registration number (FRC Nigeria, 2026c, item 15).</w:t>
      </w:r>
      <w:r w:rsidR="00AA148B" w:rsidRPr="00640D42">
        <w:rPr>
          <w:rFonts w:ascii="Times New Roman" w:hAnsi="Times New Roman" w:cs="Times New Roman"/>
        </w:rPr>
        <w:t xml:space="preserve"> Item 17, on internal control over sustainability reporting, requires clear ownership of sustainability data by a responsible officer.</w:t>
      </w:r>
      <w:r w:rsidR="00FF66B3">
        <w:rPr>
          <w:rFonts w:ascii="Times New Roman" w:hAnsi="Times New Roman" w:cs="Times New Roman"/>
        </w:rPr>
        <w:t xml:space="preserve"> </w:t>
      </w:r>
      <w:r w:rsidR="00AA148B" w:rsidRPr="00640D42">
        <w:rPr>
          <w:rFonts w:ascii="Times New Roman" w:hAnsi="Times New Roman" w:cs="Times New Roman"/>
        </w:rPr>
        <w:t xml:space="preserve">A member of management. An officer. Not a director, not a board, and not </w:t>
      </w:r>
      <w:r w:rsidR="00A648A5" w:rsidRPr="00640D42">
        <w:rPr>
          <w:rFonts w:ascii="Times New Roman" w:hAnsi="Times New Roman" w:cs="Times New Roman"/>
        </w:rPr>
        <w:t>an</w:t>
      </w:r>
      <w:r w:rsidR="00AA148B" w:rsidRPr="00640D42">
        <w:rPr>
          <w:rFonts w:ascii="Times New Roman" w:hAnsi="Times New Roman" w:cs="Times New Roman"/>
        </w:rPr>
        <w:t xml:space="preserve"> audit committee.</w:t>
      </w:r>
    </w:p>
    <w:p w14:paraId="46AB28E0" w14:textId="3AF79EA0" w:rsidR="00AA148B" w:rsidRPr="00640D42" w:rsidRDefault="00446F3C" w:rsidP="00AA148B">
      <w:pPr>
        <w:pStyle w:val="BodyText"/>
        <w:spacing w:line="360" w:lineRule="auto"/>
        <w:jc w:val="both"/>
        <w:rPr>
          <w:rFonts w:ascii="Times New Roman" w:hAnsi="Times New Roman" w:cs="Times New Roman"/>
        </w:rPr>
      </w:pPr>
      <w:r w:rsidRPr="00640D42">
        <w:rPr>
          <w:rFonts w:ascii="Times New Roman" w:hAnsi="Times New Roman" w:cs="Times New Roman"/>
        </w:rPr>
        <w:t>Now, place that against the location the same instrument specifies</w:t>
      </w:r>
      <w:r w:rsidR="003E4D37">
        <w:rPr>
          <w:rFonts w:ascii="Times New Roman" w:hAnsi="Times New Roman" w:cs="Times New Roman"/>
        </w:rPr>
        <w:t>:</w:t>
      </w:r>
      <w:r w:rsidR="00AA148B" w:rsidRPr="00640D42">
        <w:rPr>
          <w:rFonts w:ascii="Times New Roman" w:hAnsi="Times New Roman" w:cs="Times New Roman"/>
        </w:rPr>
        <w:t xml:space="preserve"> </w:t>
      </w:r>
      <w:r w:rsidRPr="00640D42">
        <w:rPr>
          <w:rFonts w:ascii="Times New Roman" w:hAnsi="Times New Roman" w:cs="Times New Roman"/>
        </w:rPr>
        <w:t>Sustainability disclosures are to be included in the annual report, immediately after the Directors’ Report and before the financial statements, with a beginning and an end, properly titled, and carrying a statement of compliance (FRC Nigeria, 2026c, items 1 and 2).</w:t>
      </w:r>
    </w:p>
    <w:p w14:paraId="2F4BF2D7" w14:textId="23DC8BAF" w:rsidR="00AA148B" w:rsidRPr="00640D42" w:rsidRDefault="00446F3C" w:rsidP="00AA148B">
      <w:pPr>
        <w:pStyle w:val="BodyText"/>
        <w:spacing w:line="360" w:lineRule="auto"/>
        <w:jc w:val="both"/>
        <w:rPr>
          <w:rFonts w:ascii="Times New Roman" w:hAnsi="Times New Roman" w:cs="Times New Roman"/>
        </w:rPr>
      </w:pPr>
      <w:r w:rsidRPr="00640D42">
        <w:rPr>
          <w:rFonts w:ascii="Times New Roman" w:hAnsi="Times New Roman" w:cs="Times New Roman"/>
        </w:rPr>
        <w:t>Nigeria has therefore taken investor-facing, financially material, assurance-bound disclosures, placed them in the most governance-dense location in the annual report, between a document signed by directors and a document audited and signed by directors, and assigned the signature of a manager.</w:t>
      </w:r>
      <w:r w:rsidR="00AA148B" w:rsidRPr="00640D42">
        <w:rPr>
          <w:rFonts w:ascii="Times New Roman" w:hAnsi="Times New Roman" w:cs="Times New Roman"/>
        </w:rPr>
        <w:t xml:space="preserve"> The financial statements are approved by the board, overseen by an audit committee, and audited</w:t>
      </w:r>
      <w:r w:rsidR="00560F98">
        <w:rPr>
          <w:rFonts w:ascii="Times New Roman" w:hAnsi="Times New Roman" w:cs="Times New Roman"/>
        </w:rPr>
        <w:t>. Still, the</w:t>
      </w:r>
      <w:r w:rsidR="005D6C07">
        <w:rPr>
          <w:rFonts w:ascii="Times New Roman" w:hAnsi="Times New Roman" w:cs="Times New Roman"/>
        </w:rPr>
        <w:t xml:space="preserve"> </w:t>
      </w:r>
      <w:r w:rsidR="00AA148B" w:rsidRPr="00640D42">
        <w:rPr>
          <w:rFonts w:ascii="Times New Roman" w:hAnsi="Times New Roman" w:cs="Times New Roman"/>
        </w:rPr>
        <w:t>sustainability disclosures</w:t>
      </w:r>
      <w:r w:rsidR="00F70612">
        <w:rPr>
          <w:rFonts w:ascii="Times New Roman" w:hAnsi="Times New Roman" w:cs="Times New Roman"/>
        </w:rPr>
        <w:t xml:space="preserve"> on the previous page are signed by an employee, overseen by an unspecified structure, and not assured</w:t>
      </w:r>
      <w:r w:rsidR="00AA148B" w:rsidRPr="00640D42">
        <w:rPr>
          <w:rFonts w:ascii="Times New Roman" w:hAnsi="Times New Roman" w:cs="Times New Roman"/>
        </w:rPr>
        <w:t xml:space="preserve"> for the first </w:t>
      </w:r>
      <w:r w:rsidR="00F51D20">
        <w:rPr>
          <w:rFonts w:ascii="Times New Roman" w:hAnsi="Times New Roman" w:cs="Times New Roman"/>
        </w:rPr>
        <w:t>3</w:t>
      </w:r>
      <w:r w:rsidR="00AA148B" w:rsidRPr="00640D42">
        <w:rPr>
          <w:rFonts w:ascii="Times New Roman" w:hAnsi="Times New Roman" w:cs="Times New Roman"/>
        </w:rPr>
        <w:t xml:space="preserve"> reporting years.</w:t>
      </w:r>
    </w:p>
    <w:p w14:paraId="0FAFF74D" w14:textId="1C71C7F0" w:rsidR="00AA148B" w:rsidRPr="00640D42" w:rsidRDefault="00CA3481" w:rsidP="00AA148B">
      <w:pPr>
        <w:pStyle w:val="Heading3"/>
        <w:spacing w:line="360" w:lineRule="auto"/>
        <w:jc w:val="both"/>
        <w:rPr>
          <w:b/>
          <w:bCs/>
          <w:color w:val="auto"/>
        </w:rPr>
      </w:pPr>
      <w:bookmarkStart w:id="10" w:name="X2a25cf976bf5d376d3810848395c8ec74d767b2"/>
      <w:bookmarkEnd w:id="9"/>
      <w:r>
        <w:rPr>
          <w:b/>
          <w:bCs/>
          <w:color w:val="auto"/>
        </w:rPr>
        <w:t>6</w:t>
      </w:r>
      <w:r w:rsidR="00AA148B" w:rsidRPr="00640D42">
        <w:rPr>
          <w:b/>
          <w:bCs/>
          <w:color w:val="auto"/>
        </w:rPr>
        <w:t>.5 The FRC has moved sustainability oversight downward</w:t>
      </w:r>
    </w:p>
    <w:p w14:paraId="128362AA" w14:textId="612F28FB" w:rsidR="00AA148B" w:rsidRPr="00640D42" w:rsidRDefault="00AA148B" w:rsidP="008512D2">
      <w:pPr>
        <w:pStyle w:val="FirstParagraph"/>
        <w:spacing w:line="360" w:lineRule="auto"/>
        <w:jc w:val="both"/>
        <w:rPr>
          <w:rFonts w:ascii="Times New Roman" w:hAnsi="Times New Roman" w:cs="Times New Roman"/>
        </w:rPr>
      </w:pPr>
      <w:r w:rsidRPr="00640D42">
        <w:rPr>
          <w:rFonts w:ascii="Times New Roman" w:hAnsi="Times New Roman" w:cs="Times New Roman"/>
        </w:rPr>
        <w:t xml:space="preserve">The instruments analysed here were all issued by </w:t>
      </w:r>
      <w:r w:rsidR="00F70612">
        <w:rPr>
          <w:rFonts w:ascii="Times New Roman" w:hAnsi="Times New Roman" w:cs="Times New Roman"/>
        </w:rPr>
        <w:t>a single regulator, and,</w:t>
      </w:r>
      <w:r w:rsidRPr="00640D42">
        <w:rPr>
          <w:rFonts w:ascii="Times New Roman" w:hAnsi="Times New Roman" w:cs="Times New Roman"/>
        </w:rPr>
        <w:t xml:space="preserve"> read in sequence</w:t>
      </w:r>
      <w:r w:rsidR="00A648A5" w:rsidRPr="00640D42">
        <w:rPr>
          <w:rFonts w:ascii="Times New Roman" w:hAnsi="Times New Roman" w:cs="Times New Roman"/>
        </w:rPr>
        <w:t>,</w:t>
      </w:r>
      <w:r w:rsidRPr="00640D42">
        <w:rPr>
          <w:rFonts w:ascii="Times New Roman" w:hAnsi="Times New Roman" w:cs="Times New Roman"/>
        </w:rPr>
        <w:t xml:space="preserve"> they disclose a trajectory.</w:t>
      </w:r>
      <w:r w:rsidR="008512D2">
        <w:rPr>
          <w:rFonts w:ascii="Times New Roman" w:hAnsi="Times New Roman" w:cs="Times New Roman"/>
        </w:rPr>
        <w:t xml:space="preserve"> </w:t>
      </w:r>
      <w:r w:rsidRPr="00640D42">
        <w:rPr>
          <w:rFonts w:ascii="Times New Roman" w:hAnsi="Times New Roman" w:cs="Times New Roman"/>
        </w:rPr>
        <w:t>Principle 26 of the Nigerian Code of Corporate Governance 2018 addresses sustainability directly</w:t>
      </w:r>
      <w:r w:rsidR="00570E17">
        <w:rPr>
          <w:rFonts w:ascii="Times New Roman" w:hAnsi="Times New Roman" w:cs="Times New Roman"/>
        </w:rPr>
        <w:t xml:space="preserve"> and</w:t>
      </w:r>
      <w:r w:rsidR="00446F3C" w:rsidRPr="00640D42">
        <w:rPr>
          <w:rFonts w:ascii="Times New Roman" w:hAnsi="Times New Roman" w:cs="Times New Roman"/>
        </w:rPr>
        <w:t xml:space="preserve"> provides that the Board should establish policies and practices covering the company’s social, ethical, safety, health, and environmental responsibilities, monitor their implementation, and report on </w:t>
      </w:r>
      <w:r w:rsidR="00446F3C" w:rsidRPr="00640D42">
        <w:rPr>
          <w:rFonts w:ascii="Times New Roman" w:hAnsi="Times New Roman" w:cs="Times New Roman"/>
        </w:rPr>
        <w:lastRenderedPageBreak/>
        <w:t>compliance (FRC Nigeria, 2018).</w:t>
      </w:r>
      <w:r w:rsidRPr="00640D42">
        <w:rPr>
          <w:rFonts w:ascii="Times New Roman" w:hAnsi="Times New Roman" w:cs="Times New Roman"/>
        </w:rPr>
        <w:t xml:space="preserve"> </w:t>
      </w:r>
      <w:r w:rsidR="00446F3C" w:rsidRPr="00640D42">
        <w:rPr>
          <w:rFonts w:ascii="Times New Roman" w:hAnsi="Times New Roman" w:cs="Times New Roman"/>
        </w:rPr>
        <w:t>The duty is placed on the board</w:t>
      </w:r>
      <w:r w:rsidR="003872AE">
        <w:rPr>
          <w:rFonts w:ascii="Times New Roman" w:hAnsi="Times New Roman" w:cs="Times New Roman"/>
        </w:rPr>
        <w:t xml:space="preserve"> and</w:t>
      </w:r>
      <w:r w:rsidR="00446F3C" w:rsidRPr="00640D42">
        <w:rPr>
          <w:rFonts w:ascii="Times New Roman" w:hAnsi="Times New Roman" w:cs="Times New Roman"/>
        </w:rPr>
        <w:t xml:space="preserve"> not delegated to the audit committee or any other committee.</w:t>
      </w:r>
    </w:p>
    <w:p w14:paraId="49AE1443" w14:textId="6D98ABBD"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The Roadmap, eight years later, requires evidence of the establishment of a governance structure for sustainability reporting and does not say what that structure is (FRC Nigeria, 2026b, §6.3).</w:t>
      </w:r>
      <w:r w:rsidR="003872AE">
        <w:rPr>
          <w:rFonts w:ascii="Times New Roman" w:hAnsi="Times New Roman" w:cs="Times New Roman"/>
        </w:rPr>
        <w:t xml:space="preserve"> In the same year, SRG1 </w:t>
      </w:r>
      <w:r w:rsidR="00446F3C" w:rsidRPr="00640D42">
        <w:rPr>
          <w:rFonts w:ascii="Times New Roman" w:hAnsi="Times New Roman" w:cs="Times New Roman"/>
        </w:rPr>
        <w:t>provides that sustainability disclosures should be signed by a member of the management team (FRC Nigeria, 2026c, item 15).</w:t>
      </w:r>
    </w:p>
    <w:p w14:paraId="21B70982" w14:textId="53C1966F" w:rsidR="00AA148B" w:rsidRPr="00640D42" w:rsidRDefault="00263FE8" w:rsidP="00AA148B">
      <w:pPr>
        <w:pStyle w:val="BodyText"/>
        <w:spacing w:line="360" w:lineRule="auto"/>
        <w:jc w:val="both"/>
        <w:rPr>
          <w:rFonts w:ascii="Times New Roman" w:hAnsi="Times New Roman" w:cs="Times New Roman"/>
        </w:rPr>
      </w:pPr>
      <w:r w:rsidRPr="00640D42">
        <w:rPr>
          <w:rFonts w:ascii="Times New Roman" w:hAnsi="Times New Roman" w:cs="Times New Roman"/>
        </w:rPr>
        <w:t>When sustainability reporting in Nigeria was narrative, voluntary, and unassured, the Code made it the Board’s duty</w:t>
      </w:r>
      <w:r>
        <w:rPr>
          <w:rFonts w:ascii="Times New Roman" w:hAnsi="Times New Roman" w:cs="Times New Roman"/>
        </w:rPr>
        <w:t>, but n</w:t>
      </w:r>
      <w:r w:rsidRPr="00640D42">
        <w:rPr>
          <w:rFonts w:ascii="Times New Roman" w:hAnsi="Times New Roman" w:cs="Times New Roman"/>
        </w:rPr>
        <w:t xml:space="preserve">ow that it is quantified, mandatory, and headed for assurance, </w:t>
      </w:r>
      <w:r>
        <w:rPr>
          <w:rFonts w:ascii="Times New Roman" w:hAnsi="Times New Roman" w:cs="Times New Roman"/>
        </w:rPr>
        <w:t>managers</w:t>
      </w:r>
      <w:r w:rsidRPr="00640D42">
        <w:rPr>
          <w:rFonts w:ascii="Times New Roman" w:hAnsi="Times New Roman" w:cs="Times New Roman"/>
        </w:rPr>
        <w:t xml:space="preserve"> sign it</w:t>
      </w:r>
      <w:r>
        <w:rPr>
          <w:rFonts w:ascii="Times New Roman" w:hAnsi="Times New Roman" w:cs="Times New Roman"/>
        </w:rPr>
        <w:t>.</w:t>
      </w:r>
      <w:r w:rsidR="00232849">
        <w:rPr>
          <w:rFonts w:ascii="Times New Roman" w:hAnsi="Times New Roman" w:cs="Times New Roman"/>
        </w:rPr>
        <w:t xml:space="preserve"> </w:t>
      </w:r>
      <w:r w:rsidR="00E92544" w:rsidRPr="00640D42">
        <w:rPr>
          <w:rFonts w:ascii="Times New Roman" w:hAnsi="Times New Roman" w:cs="Times New Roman"/>
          <w:b/>
          <w:bCs/>
        </w:rPr>
        <w:t>It has travelled downward at the point when sustainability disclosure became investor-facing, financially material, connected to the financial statements, and subject to assurance.</w:t>
      </w:r>
      <w:r w:rsidR="00AA148B" w:rsidRPr="00640D42">
        <w:rPr>
          <w:rFonts w:ascii="Times New Roman" w:hAnsi="Times New Roman" w:cs="Times New Roman"/>
        </w:rPr>
        <w:t xml:space="preserve"> </w:t>
      </w:r>
    </w:p>
    <w:p w14:paraId="05F47C66" w14:textId="04C37C32" w:rsidR="00AA148B" w:rsidRPr="00640D42" w:rsidRDefault="00E92544"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The same Council issued all </w:t>
      </w:r>
      <w:r w:rsidR="00F51D20">
        <w:rPr>
          <w:rFonts w:ascii="Times New Roman" w:hAnsi="Times New Roman" w:cs="Times New Roman"/>
        </w:rPr>
        <w:t>3</w:t>
      </w:r>
      <w:r w:rsidRPr="00640D42">
        <w:rPr>
          <w:rFonts w:ascii="Times New Roman" w:hAnsi="Times New Roman" w:cs="Times New Roman"/>
        </w:rPr>
        <w:t xml:space="preserve"> instruments: </w:t>
      </w:r>
      <w:r w:rsidR="001056DE" w:rsidRPr="001056DE">
        <w:rPr>
          <w:rFonts w:ascii="Times New Roman" w:hAnsi="Times New Roman" w:cs="Times New Roman"/>
        </w:rPr>
        <w:t>the Code that made sustainability a board responsibility</w:t>
      </w:r>
      <w:r w:rsidR="008B04EF">
        <w:rPr>
          <w:rFonts w:ascii="Times New Roman" w:hAnsi="Times New Roman" w:cs="Times New Roman"/>
        </w:rPr>
        <w:t>, also separated the statutory audit committee from the board Audit Committee,</w:t>
      </w:r>
      <w:r w:rsidR="001056DE" w:rsidRPr="001056DE">
        <w:rPr>
          <w:rFonts w:ascii="Times New Roman" w:hAnsi="Times New Roman" w:cs="Times New Roman"/>
        </w:rPr>
        <w:t xml:space="preserve"> and set out the functions of each</w:t>
      </w:r>
      <w:r w:rsidRPr="00640D42">
        <w:rPr>
          <w:rFonts w:ascii="Times New Roman" w:hAnsi="Times New Roman" w:cs="Times New Roman"/>
        </w:rPr>
        <w:t>.</w:t>
      </w:r>
      <w:r w:rsidR="00AA148B" w:rsidRPr="00640D42">
        <w:rPr>
          <w:rFonts w:ascii="Times New Roman" w:hAnsi="Times New Roman" w:cs="Times New Roman"/>
        </w:rPr>
        <w:t xml:space="preserve"> </w:t>
      </w:r>
      <w:r w:rsidR="00BF66C6">
        <w:rPr>
          <w:rFonts w:ascii="Times New Roman" w:hAnsi="Times New Roman" w:cs="Times New Roman"/>
        </w:rPr>
        <w:t xml:space="preserve">They all come from the same building but did not mention any committee. </w:t>
      </w:r>
    </w:p>
    <w:p w14:paraId="0F550310" w14:textId="083E33A9" w:rsidR="00AA148B" w:rsidRPr="00640D42" w:rsidRDefault="00CA3481" w:rsidP="00AA148B">
      <w:pPr>
        <w:pStyle w:val="Heading3"/>
        <w:spacing w:line="360" w:lineRule="auto"/>
        <w:jc w:val="both"/>
        <w:rPr>
          <w:b/>
          <w:bCs/>
          <w:color w:val="auto"/>
        </w:rPr>
      </w:pPr>
      <w:bookmarkStart w:id="11" w:name="X9986411388380d9832b709e4050b3484edae0b0"/>
      <w:bookmarkEnd w:id="10"/>
      <w:r>
        <w:rPr>
          <w:b/>
          <w:bCs/>
          <w:color w:val="auto"/>
        </w:rPr>
        <w:t>6</w:t>
      </w:r>
      <w:r w:rsidR="00AA148B" w:rsidRPr="00640D42">
        <w:rPr>
          <w:b/>
          <w:bCs/>
          <w:color w:val="auto"/>
        </w:rPr>
        <w:t>.6 Why this is a compliance defect and not only a governance one</w:t>
      </w:r>
    </w:p>
    <w:p w14:paraId="3A4875A3" w14:textId="44210BE1" w:rsidR="00AA148B" w:rsidRPr="00640D42" w:rsidRDefault="00E92544" w:rsidP="009D02E0">
      <w:pPr>
        <w:pStyle w:val="FirstParagraph"/>
        <w:spacing w:line="360" w:lineRule="auto"/>
        <w:jc w:val="both"/>
        <w:rPr>
          <w:rFonts w:ascii="Times New Roman" w:hAnsi="Times New Roman" w:cs="Times New Roman"/>
        </w:rPr>
      </w:pPr>
      <w:r w:rsidRPr="00640D42">
        <w:rPr>
          <w:rFonts w:ascii="Times New Roman" w:hAnsi="Times New Roman" w:cs="Times New Roman"/>
        </w:rPr>
        <w:t>If the question were merely who does the work, it could be left to firms to settle the issue</w:t>
      </w:r>
      <w:r w:rsidR="00E71F22">
        <w:rPr>
          <w:rFonts w:ascii="Times New Roman" w:hAnsi="Times New Roman" w:cs="Times New Roman"/>
        </w:rPr>
        <w:t>;</w:t>
      </w:r>
      <w:r w:rsidR="00B44EA6" w:rsidRPr="00640D42">
        <w:rPr>
          <w:rFonts w:ascii="Times New Roman" w:hAnsi="Times New Roman" w:cs="Times New Roman"/>
        </w:rPr>
        <w:t xml:space="preserve"> </w:t>
      </w:r>
      <w:r w:rsidR="00E71F22">
        <w:rPr>
          <w:rFonts w:ascii="Times New Roman" w:hAnsi="Times New Roman" w:cs="Times New Roman"/>
        </w:rPr>
        <w:t xml:space="preserve">but </w:t>
      </w:r>
      <w:r w:rsidR="009D02E0" w:rsidRPr="00640D42">
        <w:rPr>
          <w:rFonts w:ascii="Times New Roman" w:hAnsi="Times New Roman" w:cs="Times New Roman"/>
        </w:rPr>
        <w:t>i</w:t>
      </w:r>
      <w:r w:rsidR="00AA148B" w:rsidRPr="00640D42">
        <w:rPr>
          <w:rFonts w:ascii="Times New Roman" w:hAnsi="Times New Roman" w:cs="Times New Roman"/>
        </w:rPr>
        <w:t>t is not.</w:t>
      </w:r>
      <w:r w:rsidR="009D02E0" w:rsidRPr="00640D42">
        <w:rPr>
          <w:rFonts w:ascii="Times New Roman" w:hAnsi="Times New Roman" w:cs="Times New Roman"/>
        </w:rPr>
        <w:t xml:space="preserve"> </w:t>
      </w:r>
      <w:r w:rsidRPr="00640D42">
        <w:rPr>
          <w:rFonts w:ascii="Times New Roman" w:hAnsi="Times New Roman" w:cs="Times New Roman"/>
        </w:rPr>
        <w:t>IFRS S1 is not satisfied by an entity that has oversight in some diffuse sense; it is satisfied by an entity that can name the body and provide evidence of the assignment.</w:t>
      </w:r>
      <w:r w:rsidR="00AA148B" w:rsidRPr="00640D42">
        <w:rPr>
          <w:rFonts w:ascii="Times New Roman" w:hAnsi="Times New Roman" w:cs="Times New Roman"/>
        </w:rPr>
        <w:t xml:space="preserve"> A Nigerian listed entity that has not resolved which of its two audit committees holds sustainability oversight, and whose regulator has told it that a manager signs, has no answer to give.</w:t>
      </w:r>
    </w:p>
    <w:p w14:paraId="08D5C775" w14:textId="74622CAF" w:rsidR="00AA148B" w:rsidRPr="00640D42" w:rsidRDefault="00E92544"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Sections </w:t>
      </w:r>
      <w:r w:rsidR="0019607E">
        <w:rPr>
          <w:rFonts w:ascii="Times New Roman" w:hAnsi="Times New Roman" w:cs="Times New Roman"/>
        </w:rPr>
        <w:t>6</w:t>
      </w:r>
      <w:r w:rsidRPr="00640D42">
        <w:rPr>
          <w:rFonts w:ascii="Times New Roman" w:hAnsi="Times New Roman" w:cs="Times New Roman"/>
        </w:rPr>
        <w:t xml:space="preserve">.1 to </w:t>
      </w:r>
      <w:r w:rsidR="0019607E">
        <w:rPr>
          <w:rFonts w:ascii="Times New Roman" w:hAnsi="Times New Roman" w:cs="Times New Roman"/>
        </w:rPr>
        <w:t>6</w:t>
      </w:r>
      <w:r w:rsidRPr="00640D42">
        <w:rPr>
          <w:rFonts w:ascii="Times New Roman" w:hAnsi="Times New Roman" w:cs="Times New Roman"/>
        </w:rPr>
        <w:t>.5 have shown why an entity cannot easily find one for itself</w:t>
      </w:r>
      <w:r w:rsidR="00C040CD">
        <w:rPr>
          <w:rFonts w:ascii="Times New Roman" w:hAnsi="Times New Roman" w:cs="Times New Roman"/>
        </w:rPr>
        <w:t xml:space="preserve">; therefore, an </w:t>
      </w:r>
      <w:r w:rsidRPr="00640D42">
        <w:rPr>
          <w:rFonts w:ascii="Times New Roman" w:hAnsi="Times New Roman" w:cs="Times New Roman"/>
        </w:rPr>
        <w:t>entity in that position fails to meet the first requirement of the first standard.</w:t>
      </w:r>
    </w:p>
    <w:p w14:paraId="0C5193CC" w14:textId="7777777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The unallocated mandate is not an untidiness to be cleaned up in due course. It will surface, entity by entity, in the first reporting cycle, as a governance disclosure that cannot be made.</w:t>
      </w:r>
    </w:p>
    <w:p w14:paraId="309FA6BE" w14:textId="0D6560F0" w:rsidR="00AA148B" w:rsidRPr="00640D42" w:rsidRDefault="00CA3481" w:rsidP="00AA148B">
      <w:pPr>
        <w:pStyle w:val="Heading3"/>
        <w:spacing w:line="360" w:lineRule="auto"/>
        <w:jc w:val="both"/>
        <w:rPr>
          <w:b/>
          <w:bCs/>
          <w:color w:val="auto"/>
        </w:rPr>
      </w:pPr>
      <w:bookmarkStart w:id="12" w:name="the-assurance-report-has-no-addressee"/>
      <w:bookmarkEnd w:id="11"/>
      <w:r>
        <w:rPr>
          <w:b/>
          <w:bCs/>
          <w:color w:val="auto"/>
        </w:rPr>
        <w:t>6</w:t>
      </w:r>
      <w:r w:rsidR="00AA148B" w:rsidRPr="00640D42">
        <w:rPr>
          <w:b/>
          <w:bCs/>
          <w:color w:val="auto"/>
        </w:rPr>
        <w:t xml:space="preserve">.7 The </w:t>
      </w:r>
      <w:r w:rsidR="00075407" w:rsidRPr="00640D42">
        <w:rPr>
          <w:b/>
          <w:bCs/>
          <w:color w:val="auto"/>
        </w:rPr>
        <w:t>Assurance Report Has No Addressee</w:t>
      </w:r>
    </w:p>
    <w:p w14:paraId="4E825ACA" w14:textId="5A5A8F90" w:rsidR="00AA148B" w:rsidRPr="00640D42" w:rsidRDefault="00E92544" w:rsidP="00F7670F">
      <w:pPr>
        <w:pStyle w:val="FirstParagraph"/>
        <w:spacing w:line="360" w:lineRule="auto"/>
        <w:jc w:val="both"/>
        <w:rPr>
          <w:rFonts w:ascii="Times New Roman" w:hAnsi="Times New Roman" w:cs="Times New Roman"/>
        </w:rPr>
      </w:pPr>
      <w:r w:rsidRPr="00640D42">
        <w:rPr>
          <w:rFonts w:ascii="Times New Roman" w:hAnsi="Times New Roman" w:cs="Times New Roman"/>
        </w:rPr>
        <w:t>One further consequence follows from Section 404(2), which has gone unremarked.</w:t>
      </w:r>
      <w:r w:rsidR="009D02E0" w:rsidRPr="00640D42">
        <w:rPr>
          <w:rFonts w:ascii="Times New Roman" w:hAnsi="Times New Roman" w:cs="Times New Roman"/>
        </w:rPr>
        <w:t xml:space="preserve"> </w:t>
      </w:r>
      <w:r w:rsidRPr="00640D42">
        <w:rPr>
          <w:rFonts w:ascii="Times New Roman" w:hAnsi="Times New Roman" w:cs="Times New Roman"/>
        </w:rPr>
        <w:t xml:space="preserve">Section 404(2) gives the external auditor’s report a statutory addressee; in the case of a public company, the auditor reports </w:t>
      </w:r>
      <w:r w:rsidRPr="00640D42">
        <w:rPr>
          <w:rFonts w:ascii="Times New Roman" w:hAnsi="Times New Roman" w:cs="Times New Roman"/>
          <w:b/>
          <w:bCs/>
        </w:rPr>
        <w:t xml:space="preserve">to </w:t>
      </w:r>
      <w:r w:rsidRPr="00640D42">
        <w:rPr>
          <w:rFonts w:ascii="Times New Roman" w:hAnsi="Times New Roman" w:cs="Times New Roman"/>
          <w:b/>
          <w:bCs/>
        </w:rPr>
        <w:lastRenderedPageBreak/>
        <w:t>the audit committee</w:t>
      </w:r>
      <w:r w:rsidRPr="00640D42">
        <w:rPr>
          <w:rFonts w:ascii="Times New Roman" w:hAnsi="Times New Roman" w:cs="Times New Roman"/>
        </w:rPr>
        <w:t>.</w:t>
      </w:r>
      <w:r w:rsidR="00AA148B" w:rsidRPr="00640D42">
        <w:rPr>
          <w:rFonts w:ascii="Times New Roman" w:hAnsi="Times New Roman" w:cs="Times New Roman"/>
        </w:rPr>
        <w:t xml:space="preserve"> </w:t>
      </w:r>
      <w:r w:rsidR="00AB24E7">
        <w:rPr>
          <w:rFonts w:ascii="Times New Roman" w:hAnsi="Times New Roman" w:cs="Times New Roman"/>
        </w:rPr>
        <w:t xml:space="preserve">In this </w:t>
      </w:r>
      <w:r w:rsidR="00F7670F">
        <w:rPr>
          <w:rFonts w:ascii="Times New Roman" w:hAnsi="Times New Roman" w:cs="Times New Roman"/>
        </w:rPr>
        <w:t>regard</w:t>
      </w:r>
      <w:r w:rsidR="00AB24E7">
        <w:rPr>
          <w:rFonts w:ascii="Times New Roman" w:hAnsi="Times New Roman" w:cs="Times New Roman"/>
        </w:rPr>
        <w:t xml:space="preserve">, </w:t>
      </w:r>
      <w:r w:rsidRPr="00640D42">
        <w:rPr>
          <w:rFonts w:ascii="Times New Roman" w:hAnsi="Times New Roman" w:cs="Times New Roman"/>
        </w:rPr>
        <w:t>Nigerian law specifies who receives the audit report</w:t>
      </w:r>
      <w:r w:rsidR="00F7670F">
        <w:rPr>
          <w:rFonts w:ascii="Times New Roman" w:hAnsi="Times New Roman" w:cs="Times New Roman"/>
        </w:rPr>
        <w:t>, but it provides no information</w:t>
      </w:r>
      <w:r w:rsidRPr="00640D42">
        <w:rPr>
          <w:rFonts w:ascii="Times New Roman" w:hAnsi="Times New Roman" w:cs="Times New Roman"/>
        </w:rPr>
        <w:t xml:space="preserve"> on who receives the assurance report.</w:t>
      </w:r>
    </w:p>
    <w:p w14:paraId="798B299F" w14:textId="77777777" w:rsidR="00DC7625" w:rsidRDefault="00BE29A7" w:rsidP="00AA148B">
      <w:pPr>
        <w:pStyle w:val="BodyText"/>
        <w:spacing w:line="360" w:lineRule="auto"/>
        <w:jc w:val="both"/>
        <w:rPr>
          <w:rFonts w:ascii="Times New Roman" w:hAnsi="Times New Roman" w:cs="Times New Roman"/>
        </w:rPr>
      </w:pPr>
      <w:r w:rsidRPr="00640D42">
        <w:rPr>
          <w:rFonts w:ascii="Times New Roman" w:hAnsi="Times New Roman" w:cs="Times New Roman"/>
        </w:rPr>
        <w:t>From the third reporting year, sustainability disclosures in Nigeria will be subject to assurance under the ISSA 5000 (FRC Nigeria, 2026b, §10).</w:t>
      </w:r>
      <w:r w:rsidR="00AA148B" w:rsidRPr="00640D42">
        <w:rPr>
          <w:rFonts w:ascii="Times New Roman" w:hAnsi="Times New Roman" w:cs="Times New Roman"/>
        </w:rPr>
        <w:t xml:space="preserve"> </w:t>
      </w:r>
      <w:r w:rsidRPr="00640D42">
        <w:rPr>
          <w:rFonts w:ascii="Times New Roman" w:hAnsi="Times New Roman" w:cs="Times New Roman"/>
        </w:rPr>
        <w:t>An assurance practitioner, independent of the IESBA code and registered with the FRC, produces a report on those disclosures.</w:t>
      </w:r>
      <w:r w:rsidR="00AA148B" w:rsidRPr="00640D42">
        <w:rPr>
          <w:rFonts w:ascii="Times New Roman" w:hAnsi="Times New Roman" w:cs="Times New Roman"/>
        </w:rPr>
        <w:t xml:space="preserve"> </w:t>
      </w:r>
      <w:r w:rsidRPr="00640D42">
        <w:rPr>
          <w:rFonts w:ascii="Times New Roman" w:hAnsi="Times New Roman" w:cs="Times New Roman"/>
        </w:rPr>
        <w:t>Neither the CAMA, the Nigerian Code of Corporate Governance, the Roadmap, nor the SRG1 identifies the body to which the report is to be submitted.</w:t>
      </w:r>
    </w:p>
    <w:p w14:paraId="30449AB9" w14:textId="1B587610" w:rsidR="00DC7625" w:rsidRPr="00AB3A19" w:rsidRDefault="00BE29A7" w:rsidP="00AB3A19">
      <w:pPr>
        <w:pStyle w:val="BodyText"/>
        <w:spacing w:line="360" w:lineRule="auto"/>
        <w:jc w:val="both"/>
        <w:rPr>
          <w:rFonts w:ascii="Times New Roman" w:hAnsi="Times New Roman" w:cs="Times New Roman"/>
        </w:rPr>
      </w:pPr>
      <w:r w:rsidRPr="00640D42">
        <w:rPr>
          <w:rFonts w:ascii="Times New Roman" w:hAnsi="Times New Roman" w:cs="Times New Roman"/>
        </w:rPr>
        <w:t>This is not a drafting nicety but a substantive issue.</w:t>
      </w:r>
      <w:r w:rsidR="00AA148B" w:rsidRPr="00640D42">
        <w:rPr>
          <w:rFonts w:ascii="Times New Roman" w:hAnsi="Times New Roman" w:cs="Times New Roman"/>
        </w:rPr>
        <w:t xml:space="preserve"> </w:t>
      </w:r>
      <w:r w:rsidRPr="00640D42">
        <w:rPr>
          <w:rFonts w:ascii="Times New Roman" w:hAnsi="Times New Roman" w:cs="Times New Roman"/>
        </w:rPr>
        <w:t>The audit committee’s value in the financial reporting chain derives substantially from its position as the addressee of the auditor’s report; it is the body that receives the findings, questions management’s responses, and carries them to the general meeting.</w:t>
      </w:r>
      <w:r w:rsidR="00AA148B" w:rsidRPr="00640D42">
        <w:rPr>
          <w:rFonts w:ascii="Times New Roman" w:hAnsi="Times New Roman" w:cs="Times New Roman"/>
        </w:rPr>
        <w:t xml:space="preserve"> </w:t>
      </w:r>
      <w:r w:rsidR="00AB3A19" w:rsidRPr="00AB3A19">
        <w:rPr>
          <w:rFonts w:ascii="Times New Roman" w:hAnsi="Times New Roman" w:cs="Times New Roman"/>
        </w:rPr>
        <w:t>Sustainability assurance without a designated recipient is assurance delivered to management, on disclosures management signed, in a document prepared</w:t>
      </w:r>
      <w:r w:rsidR="009C575B">
        <w:rPr>
          <w:rFonts w:ascii="Times New Roman" w:hAnsi="Times New Roman" w:cs="Times New Roman"/>
        </w:rPr>
        <w:t xml:space="preserve"> by management</w:t>
      </w:r>
      <w:r w:rsidRPr="00640D42">
        <w:rPr>
          <w:rFonts w:ascii="Times New Roman" w:hAnsi="Times New Roman" w:cs="Times New Roman"/>
        </w:rPr>
        <w:t>.</w:t>
      </w:r>
      <w:bookmarkStart w:id="13" w:name="the-remedy-is-already-in-the-statute"/>
      <w:bookmarkEnd w:id="12"/>
    </w:p>
    <w:p w14:paraId="1977D706" w14:textId="3373F751" w:rsidR="00AA148B" w:rsidRPr="00640D42" w:rsidRDefault="00CA3481" w:rsidP="00AA148B">
      <w:pPr>
        <w:pStyle w:val="Heading3"/>
        <w:spacing w:line="360" w:lineRule="auto"/>
        <w:jc w:val="both"/>
        <w:rPr>
          <w:b/>
          <w:bCs/>
          <w:color w:val="auto"/>
        </w:rPr>
      </w:pPr>
      <w:r>
        <w:rPr>
          <w:b/>
          <w:bCs/>
          <w:color w:val="auto"/>
        </w:rPr>
        <w:t>6</w:t>
      </w:r>
      <w:r w:rsidR="00AA148B" w:rsidRPr="00640D42">
        <w:rPr>
          <w:b/>
          <w:bCs/>
          <w:color w:val="auto"/>
        </w:rPr>
        <w:t>.8 The remedy is already in the statute</w:t>
      </w:r>
    </w:p>
    <w:p w14:paraId="589C004D" w14:textId="5ECC69AB" w:rsidR="00AA148B" w:rsidRPr="00640D42" w:rsidRDefault="00BE29A7" w:rsidP="00A72CB3">
      <w:pPr>
        <w:pStyle w:val="FirstParagraph"/>
        <w:spacing w:line="360" w:lineRule="auto"/>
        <w:jc w:val="both"/>
        <w:rPr>
          <w:rFonts w:ascii="Times New Roman" w:hAnsi="Times New Roman" w:cs="Times New Roman"/>
        </w:rPr>
      </w:pPr>
      <w:r w:rsidRPr="00640D42">
        <w:rPr>
          <w:rFonts w:ascii="Times New Roman" w:hAnsi="Times New Roman" w:cs="Times New Roman"/>
        </w:rPr>
        <w:t>The analysis so far suggests that the statutory audit committee is excluded from sustainability oversight because its functions, listed exhaustively in Section 404(7), are financial</w:t>
      </w:r>
      <w:r w:rsidR="00D644E1">
        <w:rPr>
          <w:rFonts w:ascii="Times New Roman" w:hAnsi="Times New Roman" w:cs="Times New Roman"/>
        </w:rPr>
        <w:t xml:space="preserve"> in nature</w:t>
      </w:r>
      <w:r w:rsidRPr="00640D42">
        <w:rPr>
          <w:rFonts w:ascii="Times New Roman" w:hAnsi="Times New Roman" w:cs="Times New Roman"/>
        </w:rPr>
        <w:t>.</w:t>
      </w:r>
      <w:r w:rsidR="00A72CB3">
        <w:rPr>
          <w:rFonts w:ascii="Times New Roman" w:hAnsi="Times New Roman" w:cs="Times New Roman"/>
        </w:rPr>
        <w:t xml:space="preserve"> </w:t>
      </w:r>
      <w:r w:rsidRPr="00640D42">
        <w:rPr>
          <w:rFonts w:ascii="Times New Roman" w:hAnsi="Times New Roman" w:cs="Times New Roman"/>
        </w:rPr>
        <w:t xml:space="preserve">This reading is incomplete, and correcting it would open </w:t>
      </w:r>
      <w:r w:rsidR="00D644E1">
        <w:rPr>
          <w:rFonts w:ascii="Times New Roman" w:hAnsi="Times New Roman" w:cs="Times New Roman"/>
        </w:rPr>
        <w:t>access to the most economical remedy available in</w:t>
      </w:r>
      <w:r w:rsidRPr="00640D42">
        <w:rPr>
          <w:rFonts w:ascii="Times New Roman" w:hAnsi="Times New Roman" w:cs="Times New Roman"/>
        </w:rPr>
        <w:t xml:space="preserve"> the Nigerian market.</w:t>
      </w:r>
    </w:p>
    <w:p w14:paraId="73C473B2" w14:textId="422EB29C"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Section 404(7) does not present its six functions as a closed list. </w:t>
      </w:r>
      <w:r w:rsidR="00BE29A7" w:rsidRPr="00640D42">
        <w:rPr>
          <w:rFonts w:ascii="Times New Roman" w:hAnsi="Times New Roman" w:cs="Times New Roman"/>
        </w:rPr>
        <w:t xml:space="preserve">It presents them </w:t>
      </w:r>
      <w:r w:rsidR="00BE29A7" w:rsidRPr="00640D42">
        <w:rPr>
          <w:rFonts w:ascii="Times New Roman" w:hAnsi="Times New Roman" w:cs="Times New Roman"/>
          <w:b/>
          <w:bCs/>
        </w:rPr>
        <w:t>subject to additional functions and powers as the company’s articles may stipulate</w:t>
      </w:r>
      <w:r w:rsidR="00BE29A7" w:rsidRPr="00640D42">
        <w:rPr>
          <w:rFonts w:ascii="Times New Roman" w:hAnsi="Times New Roman" w:cs="Times New Roman"/>
        </w:rPr>
        <w:t>.</w:t>
      </w:r>
      <w:r w:rsidRPr="00640D42">
        <w:rPr>
          <w:rFonts w:ascii="Times New Roman" w:hAnsi="Times New Roman" w:cs="Times New Roman"/>
        </w:rPr>
        <w:t xml:space="preserve"> </w:t>
      </w:r>
      <w:r w:rsidR="00BE29A7" w:rsidRPr="00640D42">
        <w:rPr>
          <w:rFonts w:ascii="Times New Roman" w:hAnsi="Times New Roman" w:cs="Times New Roman"/>
        </w:rPr>
        <w:t>The statute expressly anticipates that a company may extend the statutory committee’s mandate through its constitutional documents.</w:t>
      </w:r>
    </w:p>
    <w:p w14:paraId="529758D1" w14:textId="751DA3FD" w:rsidR="00AA148B" w:rsidRPr="00640D42" w:rsidRDefault="00BE29A7"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Consequently, </w:t>
      </w:r>
      <w:r w:rsidRPr="00640D42">
        <w:rPr>
          <w:rFonts w:ascii="Times New Roman" w:hAnsi="Times New Roman" w:cs="Times New Roman"/>
          <w:b/>
          <w:bCs/>
        </w:rPr>
        <w:t>no legislation is required to give Nigeria’s statutory audit committee oversight of sustainability disclosure.</w:t>
      </w:r>
      <w:r w:rsidR="00AA148B" w:rsidRPr="00640D42">
        <w:rPr>
          <w:rFonts w:ascii="Times New Roman" w:hAnsi="Times New Roman" w:cs="Times New Roman"/>
        </w:rPr>
        <w:t xml:space="preserve"> </w:t>
      </w:r>
      <w:r w:rsidR="004E563B">
        <w:rPr>
          <w:rFonts w:ascii="Times New Roman" w:hAnsi="Times New Roman" w:cs="Times New Roman"/>
        </w:rPr>
        <w:t xml:space="preserve">But a </w:t>
      </w:r>
      <w:r w:rsidRPr="00640D42">
        <w:rPr>
          <w:rFonts w:ascii="Times New Roman" w:hAnsi="Times New Roman" w:cs="Times New Roman"/>
        </w:rPr>
        <w:t>special resolution amending the articles is sufficient to do so</w:t>
      </w:r>
      <w:r w:rsidR="004E563B">
        <w:rPr>
          <w:rFonts w:ascii="Times New Roman" w:hAnsi="Times New Roman" w:cs="Times New Roman"/>
        </w:rPr>
        <w:t>, and</w:t>
      </w:r>
      <w:r w:rsidR="00AA148B" w:rsidRPr="00640D42">
        <w:rPr>
          <w:rFonts w:ascii="Times New Roman" w:hAnsi="Times New Roman" w:cs="Times New Roman"/>
        </w:rPr>
        <w:t xml:space="preserve"> </w:t>
      </w:r>
      <w:r w:rsidR="00BD4F4D" w:rsidRPr="00640D42">
        <w:rPr>
          <w:rFonts w:ascii="Times New Roman" w:hAnsi="Times New Roman" w:cs="Times New Roman"/>
        </w:rPr>
        <w:t>Shareholders may do this themselves at a general meeting without waiting for the FRC, National Assembly, or Corporate Affairs Commission.</w:t>
      </w:r>
    </w:p>
    <w:p w14:paraId="13372C29" w14:textId="0B0620D8" w:rsidR="00AA148B" w:rsidRPr="00640D42" w:rsidRDefault="00BD4F4D" w:rsidP="00AA148B">
      <w:pPr>
        <w:pStyle w:val="BodyText"/>
        <w:spacing w:line="360" w:lineRule="auto"/>
        <w:jc w:val="both"/>
        <w:rPr>
          <w:rFonts w:ascii="Times New Roman" w:hAnsi="Times New Roman" w:cs="Times New Roman"/>
        </w:rPr>
      </w:pPr>
      <w:r w:rsidRPr="00640D42">
        <w:rPr>
          <w:rFonts w:ascii="Times New Roman" w:hAnsi="Times New Roman" w:cs="Times New Roman"/>
        </w:rPr>
        <w:t>This fact reframes the choice set</w:t>
      </w:r>
      <w:r w:rsidR="004E563B">
        <w:rPr>
          <w:rFonts w:ascii="Times New Roman" w:hAnsi="Times New Roman" w:cs="Times New Roman"/>
        </w:rPr>
        <w:t xml:space="preserve">, and </w:t>
      </w:r>
      <w:r w:rsidR="00E00349">
        <w:rPr>
          <w:rFonts w:ascii="Times New Roman" w:hAnsi="Times New Roman" w:cs="Times New Roman"/>
        </w:rPr>
        <w:t>the</w:t>
      </w:r>
      <w:r w:rsidRPr="00640D42">
        <w:rPr>
          <w:rFonts w:ascii="Times New Roman" w:hAnsi="Times New Roman" w:cs="Times New Roman"/>
        </w:rPr>
        <w:t xml:space="preserve"> readings are legally available.</w:t>
      </w:r>
    </w:p>
    <w:p w14:paraId="46A5D964" w14:textId="4FB0038A" w:rsidR="00AA148B" w:rsidRPr="00640D42" w:rsidRDefault="00BD4F4D" w:rsidP="00AA148B">
      <w:pPr>
        <w:pStyle w:val="Compact"/>
        <w:numPr>
          <w:ilvl w:val="0"/>
          <w:numId w:val="13"/>
        </w:numPr>
        <w:spacing w:line="360" w:lineRule="auto"/>
        <w:jc w:val="both"/>
        <w:rPr>
          <w:rFonts w:ascii="Times New Roman" w:hAnsi="Times New Roman" w:cs="Times New Roman"/>
        </w:rPr>
      </w:pPr>
      <w:r w:rsidRPr="00640D42">
        <w:rPr>
          <w:rFonts w:ascii="Times New Roman" w:hAnsi="Times New Roman" w:cs="Times New Roman"/>
          <w:b/>
          <w:bCs/>
        </w:rPr>
        <w:t>Reading A</w:t>
      </w:r>
      <w:r w:rsidRPr="00640D42">
        <w:rPr>
          <w:rFonts w:ascii="Times New Roman" w:hAnsi="Times New Roman" w:cs="Times New Roman"/>
        </w:rPr>
        <w:t>, oversight of the board Audit Committee, requires nothing but an FRC instruction and a board mandate.</w:t>
      </w:r>
      <w:r w:rsidR="00AA148B" w:rsidRPr="00640D42">
        <w:rPr>
          <w:rFonts w:ascii="Times New Roman" w:hAnsi="Times New Roman" w:cs="Times New Roman"/>
        </w:rPr>
        <w:t xml:space="preserve"> </w:t>
      </w:r>
      <w:r w:rsidRPr="00640D42">
        <w:rPr>
          <w:rFonts w:ascii="Times New Roman" w:hAnsi="Times New Roman" w:cs="Times New Roman"/>
        </w:rPr>
        <w:t>This is administratively simple</w:t>
      </w:r>
      <w:r w:rsidR="004E563B">
        <w:rPr>
          <w:rFonts w:ascii="Times New Roman" w:hAnsi="Times New Roman" w:cs="Times New Roman"/>
        </w:rPr>
        <w:t xml:space="preserve"> and </w:t>
      </w:r>
      <w:r w:rsidRPr="00640D42">
        <w:rPr>
          <w:rFonts w:ascii="Times New Roman" w:hAnsi="Times New Roman" w:cs="Times New Roman"/>
        </w:rPr>
        <w:t>excludes the shareholder-elected body from the capital provider information.</w:t>
      </w:r>
    </w:p>
    <w:p w14:paraId="6391A984" w14:textId="4A99F639" w:rsidR="00AA148B" w:rsidRPr="00640D42" w:rsidRDefault="00BD4F4D" w:rsidP="00AA148B">
      <w:pPr>
        <w:pStyle w:val="Compact"/>
        <w:numPr>
          <w:ilvl w:val="0"/>
          <w:numId w:val="13"/>
        </w:numPr>
        <w:spacing w:line="360" w:lineRule="auto"/>
        <w:jc w:val="both"/>
        <w:rPr>
          <w:rFonts w:ascii="Times New Roman" w:hAnsi="Times New Roman" w:cs="Times New Roman"/>
        </w:rPr>
      </w:pPr>
      <w:r w:rsidRPr="00640D42">
        <w:rPr>
          <w:rFonts w:ascii="Times New Roman" w:hAnsi="Times New Roman" w:cs="Times New Roman"/>
          <w:b/>
          <w:bCs/>
        </w:rPr>
        <w:lastRenderedPageBreak/>
        <w:t>Reading B</w:t>
      </w:r>
      <w:r w:rsidRPr="00640D42">
        <w:rPr>
          <w:rFonts w:ascii="Times New Roman" w:hAnsi="Times New Roman" w:cs="Times New Roman"/>
        </w:rPr>
        <w:t>, oversight of the statutory committee, requires an amendment to the articles, which the statute contemplates.</w:t>
      </w:r>
      <w:r w:rsidR="00AA148B" w:rsidRPr="00640D42">
        <w:rPr>
          <w:rFonts w:ascii="Times New Roman" w:hAnsi="Times New Roman" w:cs="Times New Roman"/>
        </w:rPr>
        <w:t xml:space="preserve"> </w:t>
      </w:r>
      <w:r w:rsidRPr="00640D42">
        <w:rPr>
          <w:rFonts w:ascii="Times New Roman" w:hAnsi="Times New Roman" w:cs="Times New Roman"/>
        </w:rPr>
        <w:t>It preserves the shareholder oversight design</w:t>
      </w:r>
      <w:r w:rsidR="004E563B">
        <w:rPr>
          <w:rFonts w:ascii="Times New Roman" w:hAnsi="Times New Roman" w:cs="Times New Roman"/>
        </w:rPr>
        <w:t xml:space="preserve"> and </w:t>
      </w:r>
      <w:r w:rsidRPr="00640D42">
        <w:rPr>
          <w:rFonts w:ascii="Times New Roman" w:hAnsi="Times New Roman" w:cs="Times New Roman"/>
        </w:rPr>
        <w:t>places sustainability oversight with a body whose composition is fixed at five and cannot be expanded to admit sustainability expertise, although its members must already be financially literate.</w:t>
      </w:r>
    </w:p>
    <w:p w14:paraId="66212523" w14:textId="57F730D6" w:rsidR="00AA148B" w:rsidRPr="00640D42" w:rsidRDefault="00BD4F4D" w:rsidP="00AA148B">
      <w:pPr>
        <w:pStyle w:val="Compact"/>
        <w:numPr>
          <w:ilvl w:val="0"/>
          <w:numId w:val="13"/>
        </w:numPr>
        <w:spacing w:line="360" w:lineRule="auto"/>
        <w:jc w:val="both"/>
        <w:rPr>
          <w:rFonts w:ascii="Times New Roman" w:hAnsi="Times New Roman" w:cs="Times New Roman"/>
        </w:rPr>
      </w:pPr>
      <w:r w:rsidRPr="00640D42">
        <w:rPr>
          <w:rFonts w:ascii="Times New Roman" w:hAnsi="Times New Roman" w:cs="Times New Roman"/>
          <w:b/>
          <w:bCs/>
        </w:rPr>
        <w:t>Reading C</w:t>
      </w:r>
      <w:r w:rsidRPr="00640D42">
        <w:rPr>
          <w:rFonts w:ascii="Times New Roman" w:hAnsi="Times New Roman" w:cs="Times New Roman"/>
        </w:rPr>
        <w:t>, both with a defined division of responsibility and a liaison channel, is the only reading that preserves the statutory design while allowing sustainability competence to be recruited to the board committee.</w:t>
      </w:r>
    </w:p>
    <w:p w14:paraId="209A970B" w14:textId="291A569B" w:rsidR="00AA148B" w:rsidRPr="00640D42" w:rsidRDefault="007E5AA6"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The FRC has chosen none of them, and the instruments do not disclose that a choice exists.</w:t>
      </w:r>
    </w:p>
    <w:p w14:paraId="772CD7AF" w14:textId="72F05397" w:rsidR="00AA148B" w:rsidRPr="00CA3481" w:rsidRDefault="00CA3481" w:rsidP="00AA148B">
      <w:pPr>
        <w:pStyle w:val="Heading2"/>
        <w:spacing w:line="360" w:lineRule="auto"/>
        <w:jc w:val="both"/>
        <w:rPr>
          <w:b/>
          <w:bCs/>
          <w:color w:val="auto"/>
          <w:sz w:val="28"/>
          <w:szCs w:val="28"/>
        </w:rPr>
      </w:pPr>
      <w:bookmarkStart w:id="14" w:name="X03e9e7fca18f71a7d62e64cfa5a52f5917bc956"/>
      <w:bookmarkEnd w:id="5"/>
      <w:bookmarkEnd w:id="13"/>
      <w:r w:rsidRPr="00CA3481">
        <w:rPr>
          <w:b/>
          <w:bCs/>
          <w:color w:val="auto"/>
          <w:sz w:val="28"/>
          <w:szCs w:val="28"/>
        </w:rPr>
        <w:t>7</w:t>
      </w:r>
      <w:r w:rsidR="00AA148B" w:rsidRPr="00CA3481">
        <w:rPr>
          <w:b/>
          <w:bCs/>
          <w:color w:val="auto"/>
          <w:sz w:val="28"/>
          <w:szCs w:val="28"/>
        </w:rPr>
        <w:t>. Defect 2: The Readiness Test That Tests Documents</w:t>
      </w:r>
    </w:p>
    <w:p w14:paraId="0E5B3FE0" w14:textId="71ECABB4" w:rsidR="00AA148B" w:rsidRPr="00640D42" w:rsidRDefault="00CA3481" w:rsidP="00AA148B">
      <w:pPr>
        <w:pStyle w:val="Heading3"/>
        <w:spacing w:line="360" w:lineRule="auto"/>
        <w:jc w:val="both"/>
        <w:rPr>
          <w:b/>
          <w:bCs/>
          <w:color w:val="auto"/>
        </w:rPr>
      </w:pPr>
      <w:bookmarkStart w:id="15" w:name="what-readiness-is"/>
      <w:r>
        <w:rPr>
          <w:b/>
          <w:bCs/>
          <w:color w:val="auto"/>
        </w:rPr>
        <w:t>7</w:t>
      </w:r>
      <w:r w:rsidR="00E00349" w:rsidRPr="00640D42">
        <w:rPr>
          <w:b/>
          <w:bCs/>
          <w:color w:val="auto"/>
        </w:rPr>
        <w:t xml:space="preserve">.1 </w:t>
      </w:r>
      <w:r w:rsidR="00AA148B" w:rsidRPr="00640D42">
        <w:rPr>
          <w:b/>
          <w:bCs/>
          <w:color w:val="auto"/>
        </w:rPr>
        <w:t xml:space="preserve">What </w:t>
      </w:r>
      <w:r w:rsidR="00E00349" w:rsidRPr="00640D42">
        <w:rPr>
          <w:b/>
          <w:bCs/>
          <w:color w:val="auto"/>
        </w:rPr>
        <w:t>Is</w:t>
      </w:r>
      <w:r w:rsidR="00EE223D">
        <w:rPr>
          <w:b/>
          <w:bCs/>
          <w:color w:val="auto"/>
        </w:rPr>
        <w:t xml:space="preserve"> Readiness?</w:t>
      </w:r>
    </w:p>
    <w:p w14:paraId="7DDCA09F" w14:textId="3A5323A3" w:rsidR="00AA148B" w:rsidRPr="00640D42" w:rsidRDefault="00AA148B" w:rsidP="00A30AD1">
      <w:pPr>
        <w:pStyle w:val="FirstParagraph"/>
        <w:spacing w:line="360" w:lineRule="auto"/>
        <w:jc w:val="both"/>
        <w:rPr>
          <w:rFonts w:ascii="Times New Roman" w:hAnsi="Times New Roman" w:cs="Times New Roman"/>
        </w:rPr>
      </w:pPr>
      <w:r w:rsidRPr="00640D42">
        <w:rPr>
          <w:rFonts w:ascii="Times New Roman" w:hAnsi="Times New Roman" w:cs="Times New Roman"/>
        </w:rPr>
        <w:t>Readiness for organisational change has a settled theoretical literature.</w:t>
      </w:r>
      <w:r w:rsidR="00A30AD1" w:rsidRPr="00640D42">
        <w:rPr>
          <w:rFonts w:ascii="Times New Roman" w:hAnsi="Times New Roman" w:cs="Times New Roman"/>
        </w:rPr>
        <w:t xml:space="preserve"> </w:t>
      </w:r>
      <w:r w:rsidRPr="00640D42">
        <w:rPr>
          <w:rFonts w:ascii="Times New Roman" w:hAnsi="Times New Roman" w:cs="Times New Roman"/>
        </w:rPr>
        <w:t xml:space="preserve">Armenakis, Harris, and Mossholder (1993) framed readiness as a proactive construct rather than the absence of resistance, defined by members’ beliefs, attitudes, and intentions regarding the need for change and the organisation’s capacity to undertake it. Weiner (2009) developed this into the standard account. He defines organisational readiness for change as a shared psychological state comprising </w:t>
      </w:r>
      <w:r w:rsidRPr="00640D42">
        <w:rPr>
          <w:rFonts w:ascii="Times New Roman" w:hAnsi="Times New Roman" w:cs="Times New Roman"/>
          <w:b/>
          <w:bCs/>
        </w:rPr>
        <w:t>change commitment</w:t>
      </w:r>
      <w:r w:rsidRPr="00640D42">
        <w:rPr>
          <w:rFonts w:ascii="Times New Roman" w:hAnsi="Times New Roman" w:cs="Times New Roman"/>
        </w:rPr>
        <w:t xml:space="preserve">, the collective resolve to implement a change, and </w:t>
      </w:r>
      <w:r w:rsidRPr="00640D42">
        <w:rPr>
          <w:rFonts w:ascii="Times New Roman" w:hAnsi="Times New Roman" w:cs="Times New Roman"/>
          <w:b/>
          <w:bCs/>
        </w:rPr>
        <w:t>change efficacy</w:t>
      </w:r>
      <w:r w:rsidRPr="00640D42">
        <w:rPr>
          <w:rFonts w:ascii="Times New Roman" w:hAnsi="Times New Roman" w:cs="Times New Roman"/>
        </w:rPr>
        <w:t xml:space="preserve">, the shared belief in the collective capability to do so. Change efficacy varies with how favourably organisational members appraise </w:t>
      </w:r>
      <w:r w:rsidR="00F51D20">
        <w:rPr>
          <w:rFonts w:ascii="Times New Roman" w:hAnsi="Times New Roman" w:cs="Times New Roman"/>
        </w:rPr>
        <w:t>3</w:t>
      </w:r>
      <w:r w:rsidRPr="00640D42">
        <w:rPr>
          <w:rFonts w:ascii="Times New Roman" w:hAnsi="Times New Roman" w:cs="Times New Roman"/>
        </w:rPr>
        <w:t xml:space="preserve"> determinants of implementation capability: </w:t>
      </w:r>
      <w:r w:rsidRPr="00640D42">
        <w:rPr>
          <w:rFonts w:ascii="Times New Roman" w:hAnsi="Times New Roman" w:cs="Times New Roman"/>
          <w:b/>
          <w:bCs/>
        </w:rPr>
        <w:t>task demands</w:t>
      </w:r>
      <w:r w:rsidRPr="00640D42">
        <w:rPr>
          <w:rFonts w:ascii="Times New Roman" w:hAnsi="Times New Roman" w:cs="Times New Roman"/>
        </w:rPr>
        <w:t xml:space="preserve">, </w:t>
      </w:r>
      <w:r w:rsidRPr="00640D42">
        <w:rPr>
          <w:rFonts w:ascii="Times New Roman" w:hAnsi="Times New Roman" w:cs="Times New Roman"/>
          <w:b/>
          <w:bCs/>
        </w:rPr>
        <w:t>resource availability</w:t>
      </w:r>
      <w:r w:rsidRPr="00640D42">
        <w:rPr>
          <w:rFonts w:ascii="Times New Roman" w:hAnsi="Times New Roman" w:cs="Times New Roman"/>
        </w:rPr>
        <w:t xml:space="preserve">, and </w:t>
      </w:r>
      <w:r w:rsidRPr="00640D42">
        <w:rPr>
          <w:rFonts w:ascii="Times New Roman" w:hAnsi="Times New Roman" w:cs="Times New Roman"/>
          <w:b/>
          <w:bCs/>
        </w:rPr>
        <w:t>situational factors</w:t>
      </w:r>
      <w:r w:rsidRPr="00640D42">
        <w:rPr>
          <w:rFonts w:ascii="Times New Roman" w:hAnsi="Times New Roman" w:cs="Times New Roman"/>
        </w:rPr>
        <w:t>.</w:t>
      </w:r>
    </w:p>
    <w:p w14:paraId="140AF2EB" w14:textId="74492878"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The distinction between readiness and its determinants is the heart of the theory</w:t>
      </w:r>
      <w:r w:rsidR="00FD0C0C">
        <w:rPr>
          <w:rFonts w:ascii="Times New Roman" w:hAnsi="Times New Roman" w:cs="Times New Roman"/>
        </w:rPr>
        <w:t>, and s</w:t>
      </w:r>
      <w:r w:rsidR="007E5AA6" w:rsidRPr="00640D42">
        <w:rPr>
          <w:rFonts w:ascii="Times New Roman" w:hAnsi="Times New Roman" w:cs="Times New Roman"/>
        </w:rPr>
        <w:t>tructures, systems, and resources are inputs from which change efficacy is formed; they are not readiness factors.</w:t>
      </w:r>
      <w:r w:rsidRPr="00640D42">
        <w:rPr>
          <w:rFonts w:ascii="Times New Roman" w:hAnsi="Times New Roman" w:cs="Times New Roman"/>
        </w:rPr>
        <w:t xml:space="preserve"> An organisation may hold every determinant and still lack the shared resolve to act.</w:t>
      </w:r>
    </w:p>
    <w:p w14:paraId="0315DE4B" w14:textId="32DC4D0F"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Weiner, Amick, and Lee (2008), reviewing 106 peer-reviewed articles and inspecting 43 instruments, found the construct poorly specified and most measures lacking demonstrated reliability or validity. That criticism produced a generation of psychometrically grounded scales, including the 41-item Readiness for </w:t>
      </w:r>
      <w:r w:rsidR="00271F6C" w:rsidRPr="00640D42">
        <w:rPr>
          <w:rFonts w:ascii="Times New Roman" w:hAnsi="Times New Roman" w:cs="Times New Roman"/>
        </w:rPr>
        <w:t>Organisational</w:t>
      </w:r>
      <w:r w:rsidRPr="00640D42">
        <w:rPr>
          <w:rFonts w:ascii="Times New Roman" w:hAnsi="Times New Roman" w:cs="Times New Roman"/>
        </w:rPr>
        <w:t xml:space="preserve"> Change scale of Holt, Armenakis, Feild, and Harris (2007) and the 12-item </w:t>
      </w:r>
      <w:r w:rsidR="00271F6C" w:rsidRPr="00640D42">
        <w:rPr>
          <w:rFonts w:ascii="Times New Roman" w:hAnsi="Times New Roman" w:cs="Times New Roman"/>
        </w:rPr>
        <w:t>Organisational</w:t>
      </w:r>
      <w:r w:rsidRPr="00640D42">
        <w:rPr>
          <w:rFonts w:ascii="Times New Roman" w:hAnsi="Times New Roman" w:cs="Times New Roman"/>
        </w:rPr>
        <w:t xml:space="preserve"> Readiness for Implementing Change scale of Shea, Jacobs, Esserman, Bruce, and Weiner (2014), which operationalises Weiner’s two components directly. Caci et al. (2025), </w:t>
      </w:r>
      <w:r w:rsidR="00271F6C" w:rsidRPr="00640D42">
        <w:rPr>
          <w:rFonts w:ascii="Times New Roman" w:hAnsi="Times New Roman" w:cs="Times New Roman"/>
        </w:rPr>
        <w:t>in a systematic review of the field, report that the latter is now the most widely used measure and that many published readiness studies still rely on self-developed instruments with</w:t>
      </w:r>
      <w:r w:rsidRPr="00640D42">
        <w:rPr>
          <w:rFonts w:ascii="Times New Roman" w:hAnsi="Times New Roman" w:cs="Times New Roman"/>
        </w:rPr>
        <w:t xml:space="preserve"> unestablished validity.</w:t>
      </w:r>
    </w:p>
    <w:p w14:paraId="78FD8A35" w14:textId="2A6288F3" w:rsidR="00AA148B" w:rsidRPr="00640D42" w:rsidRDefault="00CA3481" w:rsidP="00AA148B">
      <w:pPr>
        <w:pStyle w:val="Heading3"/>
        <w:spacing w:line="360" w:lineRule="auto"/>
        <w:jc w:val="both"/>
        <w:rPr>
          <w:b/>
          <w:bCs/>
          <w:color w:val="auto"/>
        </w:rPr>
      </w:pPr>
      <w:bookmarkStart w:id="16" w:name="what-the-frcs-instrument-measures"/>
      <w:bookmarkEnd w:id="15"/>
      <w:r>
        <w:rPr>
          <w:b/>
          <w:bCs/>
          <w:color w:val="auto"/>
        </w:rPr>
        <w:lastRenderedPageBreak/>
        <w:t>7</w:t>
      </w:r>
      <w:r w:rsidR="00FD0C0C" w:rsidRPr="00640D42">
        <w:rPr>
          <w:b/>
          <w:bCs/>
          <w:color w:val="auto"/>
        </w:rPr>
        <w:t xml:space="preserve">.2 </w:t>
      </w:r>
      <w:r w:rsidR="00AA148B" w:rsidRPr="00640D42">
        <w:rPr>
          <w:b/>
          <w:bCs/>
          <w:color w:val="auto"/>
        </w:rPr>
        <w:t xml:space="preserve">What </w:t>
      </w:r>
      <w:r w:rsidR="00FD0C0C" w:rsidRPr="00640D42">
        <w:rPr>
          <w:b/>
          <w:bCs/>
          <w:color w:val="auto"/>
        </w:rPr>
        <w:t xml:space="preserve">The </w:t>
      </w:r>
      <w:r w:rsidR="00AA148B" w:rsidRPr="00640D42">
        <w:rPr>
          <w:b/>
          <w:bCs/>
          <w:color w:val="auto"/>
        </w:rPr>
        <w:t xml:space="preserve">FRC’s </w:t>
      </w:r>
      <w:r w:rsidR="00FD0C0C" w:rsidRPr="00640D42">
        <w:rPr>
          <w:b/>
          <w:bCs/>
          <w:color w:val="auto"/>
        </w:rPr>
        <w:t>Instrument Measures</w:t>
      </w:r>
    </w:p>
    <w:p w14:paraId="31ABFE7B" w14:textId="72F33E2C" w:rsidR="00AA148B" w:rsidRPr="00640D42" w:rsidRDefault="00AA148B"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The Readiness Test Assessment is compulsory</w:t>
      </w:r>
      <w:r w:rsidR="00271F6C" w:rsidRPr="00640D42">
        <w:rPr>
          <w:rFonts w:ascii="Times New Roman" w:hAnsi="Times New Roman" w:cs="Times New Roman"/>
        </w:rPr>
        <w:t xml:space="preserve"> as it</w:t>
      </w:r>
      <w:r w:rsidRPr="00640D42">
        <w:rPr>
          <w:rFonts w:ascii="Times New Roman" w:hAnsi="Times New Roman" w:cs="Times New Roman"/>
        </w:rPr>
        <w:t xml:space="preserve"> applies to every entity in every phase and must be completed before an entity publishes its first sustainability report (FRC Nigeria, 2026b, §6.3). </w:t>
      </w:r>
      <w:r w:rsidR="007E5AA6" w:rsidRPr="00640D42">
        <w:rPr>
          <w:rFonts w:ascii="Times New Roman" w:hAnsi="Times New Roman" w:cs="Times New Roman"/>
        </w:rPr>
        <w:t>SRG1 describes it as demonstrating that an adopting entity is fully prepared (FRC Nigeria, 2026c, Item 6).</w:t>
      </w:r>
    </w:p>
    <w:p w14:paraId="2E4E7C64" w14:textId="0A6EF4D3"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It consists of </w:t>
      </w:r>
      <w:r w:rsidR="001766AB">
        <w:rPr>
          <w:rFonts w:ascii="Times New Roman" w:hAnsi="Times New Roman" w:cs="Times New Roman"/>
        </w:rPr>
        <w:t>seventeen</w:t>
      </w:r>
      <w:r w:rsidRPr="00640D42">
        <w:rPr>
          <w:rFonts w:ascii="Times New Roman" w:hAnsi="Times New Roman" w:cs="Times New Roman"/>
        </w:rPr>
        <w:t xml:space="preserve"> documents across </w:t>
      </w:r>
      <w:r w:rsidR="00F51D20">
        <w:rPr>
          <w:rFonts w:ascii="Times New Roman" w:hAnsi="Times New Roman" w:cs="Times New Roman"/>
        </w:rPr>
        <w:t>3</w:t>
      </w:r>
      <w:r w:rsidRPr="00640D42">
        <w:rPr>
          <w:rFonts w:ascii="Times New Roman" w:hAnsi="Times New Roman" w:cs="Times New Roman"/>
        </w:rPr>
        <w:t xml:space="preserve"> stages (FRC Nigeria, 2026c, </w:t>
      </w:r>
      <w:r w:rsidR="00FD0C0C">
        <w:rPr>
          <w:rFonts w:ascii="Times New Roman" w:hAnsi="Times New Roman" w:cs="Times New Roman"/>
        </w:rPr>
        <w:t>Item</w:t>
      </w:r>
      <w:r w:rsidRPr="00640D42">
        <w:rPr>
          <w:rFonts w:ascii="Times New Roman" w:hAnsi="Times New Roman" w:cs="Times New Roman"/>
        </w:rPr>
        <w:t xml:space="preserve"> 14):</w:t>
      </w:r>
    </w:p>
    <w:p w14:paraId="1406DBA7" w14:textId="261DB14E"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Stage 1</w:t>
      </w:r>
      <w:r w:rsidRPr="00640D42">
        <w:rPr>
          <w:rFonts w:ascii="Times New Roman" w:hAnsi="Times New Roman" w:cs="Times New Roman"/>
        </w:rPr>
        <w:t xml:space="preserve">, </w:t>
      </w:r>
      <w:r w:rsidR="00F51D20">
        <w:rPr>
          <w:rFonts w:ascii="Times New Roman" w:hAnsi="Times New Roman" w:cs="Times New Roman"/>
        </w:rPr>
        <w:t>3</w:t>
      </w:r>
      <w:r w:rsidRPr="00640D42">
        <w:rPr>
          <w:rFonts w:ascii="Times New Roman" w:hAnsi="Times New Roman" w:cs="Times New Roman"/>
        </w:rPr>
        <w:t xml:space="preserve"> months before the reporting date: a board resolution approving adoption</w:t>
      </w:r>
      <w:r w:rsidR="002E3C36">
        <w:rPr>
          <w:rFonts w:ascii="Times New Roman" w:hAnsi="Times New Roman" w:cs="Times New Roman"/>
        </w:rPr>
        <w:t>, a gap analysis report, and</w:t>
      </w:r>
      <w:r w:rsidRPr="00640D42">
        <w:rPr>
          <w:rFonts w:ascii="Times New Roman" w:hAnsi="Times New Roman" w:cs="Times New Roman"/>
        </w:rPr>
        <w:t xml:space="preserve"> an implementation plan.</w:t>
      </w:r>
    </w:p>
    <w:p w14:paraId="6625488B" w14:textId="7C09F276"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Stage 2</w:t>
      </w:r>
      <w:r w:rsidRPr="00640D42">
        <w:rPr>
          <w:rFonts w:ascii="Times New Roman" w:hAnsi="Times New Roman" w:cs="Times New Roman"/>
        </w:rPr>
        <w:t xml:space="preserve">, within </w:t>
      </w:r>
      <w:r w:rsidR="00F51D20">
        <w:rPr>
          <w:rFonts w:ascii="Times New Roman" w:hAnsi="Times New Roman" w:cs="Times New Roman"/>
        </w:rPr>
        <w:t>3</w:t>
      </w:r>
      <w:r w:rsidRPr="00640D42">
        <w:rPr>
          <w:rFonts w:ascii="Times New Roman" w:hAnsi="Times New Roman" w:cs="Times New Roman"/>
        </w:rPr>
        <w:t xml:space="preserve"> months after the reporting date: sustainability disclosure policies; identification of transitional reliefs; materiality assessment of risks and opportunities; evidence of the establishment of a governance structure; evidence of board approval of the policies; evidence of regulatory sustainability training for board members, management, and preparers.</w:t>
      </w:r>
    </w:p>
    <w:p w14:paraId="3F5CE326" w14:textId="7777777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Stage 3</w:t>
      </w:r>
      <w:r w:rsidRPr="00640D42">
        <w:rPr>
          <w:rFonts w:ascii="Times New Roman" w:hAnsi="Times New Roman" w:cs="Times New Roman"/>
        </w:rPr>
        <w:t>, within six months after the reporting date: evidence of FRC registration of the entity and its professionals; description of scenario-analysis models; an enterprise and sustainability risk management framework; evidence of board approval of that framework; description of metrics and targets; evidence of board approval of metrics and targets; the current financial effect of sustainability-related risks and opportunities; internal control over sustainability reporting.</w:t>
      </w:r>
    </w:p>
    <w:p w14:paraId="61290FB3" w14:textId="7D7494D9" w:rsidR="00AA148B" w:rsidRPr="00640D42" w:rsidRDefault="00075407" w:rsidP="00AA148B">
      <w:pPr>
        <w:pStyle w:val="BodyText"/>
        <w:spacing w:line="360" w:lineRule="auto"/>
        <w:jc w:val="both"/>
        <w:rPr>
          <w:rFonts w:ascii="Times New Roman" w:hAnsi="Times New Roman" w:cs="Times New Roman"/>
        </w:rPr>
      </w:pPr>
      <w:r w:rsidRPr="00075407">
        <w:rPr>
          <w:rFonts w:ascii="Times New Roman" w:hAnsi="Times New Roman" w:cs="Times New Roman"/>
        </w:rPr>
        <w:t>Every item is a document, and six of the seventeen are, in substance, evidence that the board has approved or resolved something</w:t>
      </w:r>
      <w:r w:rsidR="00A63444" w:rsidRPr="00640D42">
        <w:rPr>
          <w:rFonts w:ascii="Times New Roman" w:hAnsi="Times New Roman" w:cs="Times New Roman"/>
        </w:rPr>
        <w:t>.</w:t>
      </w:r>
      <w:r w:rsidR="00AA148B" w:rsidRPr="00640D42">
        <w:rPr>
          <w:rFonts w:ascii="Times New Roman" w:hAnsi="Times New Roman" w:cs="Times New Roman"/>
        </w:rPr>
        <w:t xml:space="preserve"> The FRC reviews the submissions and provides feedback.</w:t>
      </w:r>
      <w:r w:rsidR="00D56D31">
        <w:rPr>
          <w:rFonts w:ascii="Times New Roman" w:hAnsi="Times New Roman" w:cs="Times New Roman"/>
        </w:rPr>
        <w:t xml:space="preserve"> </w:t>
      </w:r>
      <w:r w:rsidR="0072602F" w:rsidRPr="0072602F">
        <w:rPr>
          <w:rFonts w:ascii="Times New Roman" w:hAnsi="Times New Roman" w:cs="Times New Roman"/>
        </w:rPr>
        <w:t>There is no questionnaire, no interview, and no test of comprehension; nothing in the instrument would detect a board that passed a resolution it did not read</w:t>
      </w:r>
      <w:r w:rsidR="00AA148B" w:rsidRPr="00640D42">
        <w:rPr>
          <w:rFonts w:ascii="Times New Roman" w:hAnsi="Times New Roman" w:cs="Times New Roman"/>
        </w:rPr>
        <w:t>, or a preparer who attended the mandatory training and understood none of it.</w:t>
      </w:r>
    </w:p>
    <w:p w14:paraId="7F4C2DF3" w14:textId="70F4F102" w:rsidR="00AA148B" w:rsidRPr="00640D42" w:rsidRDefault="005A6134" w:rsidP="00AA148B">
      <w:pPr>
        <w:pStyle w:val="BodyText"/>
        <w:spacing w:line="360" w:lineRule="auto"/>
        <w:jc w:val="both"/>
        <w:rPr>
          <w:rFonts w:ascii="Times New Roman" w:hAnsi="Times New Roman" w:cs="Times New Roman"/>
        </w:rPr>
      </w:pPr>
      <w:r w:rsidRPr="005A6134">
        <w:rPr>
          <w:rFonts w:ascii="Times New Roman" w:hAnsi="Times New Roman" w:cs="Times New Roman"/>
        </w:rPr>
        <w:t>Table 2 maps each requirement to Weiner’s taxonomy</w:t>
      </w:r>
      <w:r w:rsidR="007E5AA6" w:rsidRPr="00640D42">
        <w:rPr>
          <w:rFonts w:ascii="Times New Roman" w:hAnsi="Times New Roman" w:cs="Times New Roman"/>
        </w:rPr>
        <w:t>.</w:t>
      </w:r>
      <w:r w:rsidR="00AA148B" w:rsidRPr="00640D42">
        <w:rPr>
          <w:rFonts w:ascii="Times New Roman" w:hAnsi="Times New Roman" w:cs="Times New Roman"/>
        </w:rPr>
        <w:t xml:space="preserve"> </w:t>
      </w:r>
      <w:r w:rsidR="00A63444" w:rsidRPr="00640D42">
        <w:rPr>
          <w:rFonts w:ascii="Times New Roman" w:hAnsi="Times New Roman" w:cs="Times New Roman"/>
        </w:rPr>
        <w:t>The classification is interpretive, and we set out our reasoning so that a reader who disagrees can see where they differ</w:t>
      </w:r>
      <w:r w:rsidR="00D644E1">
        <w:rPr>
          <w:rFonts w:ascii="Times New Roman" w:hAnsi="Times New Roman" w:cs="Times New Roman"/>
        </w:rPr>
        <w:t xml:space="preserve"> from us</w:t>
      </w:r>
      <w:r w:rsidR="00A63444" w:rsidRPr="00640D42">
        <w:rPr>
          <w:rFonts w:ascii="Times New Roman" w:hAnsi="Times New Roman" w:cs="Times New Roman"/>
        </w:rPr>
        <w:t>.</w:t>
      </w:r>
    </w:p>
    <w:p w14:paraId="288BC102" w14:textId="7826F286"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 xml:space="preserve">Table </w:t>
      </w:r>
      <w:r w:rsidR="00EC6008">
        <w:rPr>
          <w:rFonts w:ascii="Times New Roman" w:hAnsi="Times New Roman" w:cs="Times New Roman"/>
          <w:b/>
          <w:bCs/>
        </w:rPr>
        <w:t>2</w:t>
      </w:r>
      <w:r w:rsidRPr="00640D42">
        <w:rPr>
          <w:rFonts w:ascii="Times New Roman" w:hAnsi="Times New Roman" w:cs="Times New Roman"/>
          <w:b/>
          <w:bCs/>
        </w:rPr>
        <w:t>. The FRC Readiness Test Assessment mapped to Weiner (2009)</w:t>
      </w:r>
    </w:p>
    <w:tbl>
      <w:tblPr>
        <w:tblStyle w:val="Table"/>
        <w:tblW w:w="5000" w:type="pct"/>
        <w:tblLook w:val="0020" w:firstRow="1" w:lastRow="0" w:firstColumn="0" w:lastColumn="0" w:noHBand="0" w:noVBand="0"/>
      </w:tblPr>
      <w:tblGrid>
        <w:gridCol w:w="2442"/>
        <w:gridCol w:w="1513"/>
        <w:gridCol w:w="6125"/>
      </w:tblGrid>
      <w:tr w:rsidR="00AA148B" w:rsidRPr="00640D42" w14:paraId="56D24058" w14:textId="77777777" w:rsidTr="00F277AC">
        <w:trPr>
          <w:cnfStyle w:val="100000000000" w:firstRow="1" w:lastRow="0" w:firstColumn="0" w:lastColumn="0" w:oddVBand="0" w:evenVBand="0" w:oddHBand="0" w:evenHBand="0" w:firstRowFirstColumn="0" w:firstRowLastColumn="0" w:lastRowFirstColumn="0" w:lastRowLastColumn="0"/>
          <w:tblHeader/>
        </w:trPr>
        <w:tc>
          <w:tcPr>
            <w:tcW w:w="0" w:type="auto"/>
          </w:tcPr>
          <w:p w14:paraId="14783BC7" w14:textId="77777777" w:rsidR="00AA148B" w:rsidRPr="00640D42" w:rsidRDefault="00AA148B" w:rsidP="005467AE">
            <w:pPr>
              <w:pStyle w:val="Compact"/>
              <w:jc w:val="both"/>
              <w:rPr>
                <w:rFonts w:ascii="Times New Roman" w:hAnsi="Times New Roman" w:cs="Times New Roman"/>
                <w:b/>
                <w:bCs/>
                <w:sz w:val="20"/>
                <w:szCs w:val="20"/>
              </w:rPr>
            </w:pPr>
            <w:r w:rsidRPr="00640D42">
              <w:rPr>
                <w:rFonts w:ascii="Times New Roman" w:hAnsi="Times New Roman" w:cs="Times New Roman"/>
                <w:b/>
                <w:bCs/>
                <w:sz w:val="20"/>
                <w:szCs w:val="20"/>
              </w:rPr>
              <w:t>Required item</w:t>
            </w:r>
          </w:p>
        </w:tc>
        <w:tc>
          <w:tcPr>
            <w:tcW w:w="0" w:type="auto"/>
          </w:tcPr>
          <w:p w14:paraId="6399F0CC" w14:textId="77777777" w:rsidR="00AA148B" w:rsidRPr="00640D42" w:rsidRDefault="00AA148B" w:rsidP="005467AE">
            <w:pPr>
              <w:pStyle w:val="Compact"/>
              <w:jc w:val="both"/>
              <w:rPr>
                <w:rFonts w:ascii="Times New Roman" w:hAnsi="Times New Roman" w:cs="Times New Roman"/>
                <w:b/>
                <w:bCs/>
                <w:sz w:val="20"/>
                <w:szCs w:val="20"/>
              </w:rPr>
            </w:pPr>
            <w:r w:rsidRPr="00640D42">
              <w:rPr>
                <w:rFonts w:ascii="Times New Roman" w:hAnsi="Times New Roman" w:cs="Times New Roman"/>
                <w:b/>
                <w:bCs/>
                <w:sz w:val="20"/>
                <w:szCs w:val="20"/>
              </w:rPr>
              <w:t>Weiner category</w:t>
            </w:r>
          </w:p>
        </w:tc>
        <w:tc>
          <w:tcPr>
            <w:tcW w:w="0" w:type="auto"/>
          </w:tcPr>
          <w:p w14:paraId="23B7A218" w14:textId="77777777" w:rsidR="00AA148B" w:rsidRPr="00640D42" w:rsidRDefault="00AA148B" w:rsidP="005467AE">
            <w:pPr>
              <w:pStyle w:val="Compact"/>
              <w:jc w:val="both"/>
              <w:rPr>
                <w:rFonts w:ascii="Times New Roman" w:hAnsi="Times New Roman" w:cs="Times New Roman"/>
                <w:b/>
                <w:bCs/>
                <w:sz w:val="20"/>
                <w:szCs w:val="20"/>
              </w:rPr>
            </w:pPr>
            <w:r w:rsidRPr="00640D42">
              <w:rPr>
                <w:rFonts w:ascii="Times New Roman" w:hAnsi="Times New Roman" w:cs="Times New Roman"/>
                <w:b/>
                <w:bCs/>
                <w:sz w:val="20"/>
                <w:szCs w:val="20"/>
              </w:rPr>
              <w:t>Reasoning</w:t>
            </w:r>
          </w:p>
        </w:tc>
      </w:tr>
      <w:tr w:rsidR="00AA148B" w:rsidRPr="00640D42" w14:paraId="27C93760" w14:textId="77777777" w:rsidTr="00F277AC">
        <w:tc>
          <w:tcPr>
            <w:tcW w:w="0" w:type="auto"/>
          </w:tcPr>
          <w:p w14:paraId="5AFB50B3"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Board resolution approving adoption</w:t>
            </w:r>
          </w:p>
        </w:tc>
        <w:tc>
          <w:tcPr>
            <w:tcW w:w="0" w:type="auto"/>
          </w:tcPr>
          <w:p w14:paraId="7653CFF8"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Situational factor</w:t>
            </w:r>
          </w:p>
        </w:tc>
        <w:tc>
          <w:tcPr>
            <w:tcW w:w="0" w:type="auto"/>
          </w:tcPr>
          <w:p w14:paraId="085E6159"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Records a decision. Says nothing about whether those implementing it share it</w:t>
            </w:r>
          </w:p>
        </w:tc>
      </w:tr>
      <w:tr w:rsidR="00AA148B" w:rsidRPr="00640D42" w14:paraId="6B19F88D" w14:textId="77777777" w:rsidTr="00F277AC">
        <w:tc>
          <w:tcPr>
            <w:tcW w:w="0" w:type="auto"/>
          </w:tcPr>
          <w:p w14:paraId="6D5E1F82"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lastRenderedPageBreak/>
              <w:t>Gap analysis report</w:t>
            </w:r>
          </w:p>
        </w:tc>
        <w:tc>
          <w:tcPr>
            <w:tcW w:w="0" w:type="auto"/>
          </w:tcPr>
          <w:p w14:paraId="4EEBC2ED"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Task demands (partial)</w:t>
            </w:r>
          </w:p>
        </w:tc>
        <w:tc>
          <w:tcPr>
            <w:tcW w:w="0" w:type="auto"/>
          </w:tcPr>
          <w:p w14:paraId="45A1CBF3" w14:textId="2D6C818D"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 xml:space="preserve">The closest the instrument comes to task-demand appraisal </w:t>
            </w:r>
            <w:r w:rsidR="00D81118" w:rsidRPr="00640D42">
              <w:rPr>
                <w:rFonts w:ascii="Times New Roman" w:hAnsi="Times New Roman" w:cs="Times New Roman"/>
                <w:sz w:val="20"/>
                <w:szCs w:val="20"/>
              </w:rPr>
              <w:t>is that</w:t>
            </w:r>
            <w:r w:rsidRPr="00640D42">
              <w:rPr>
                <w:rFonts w:ascii="Times New Roman" w:hAnsi="Times New Roman" w:cs="Times New Roman"/>
                <w:sz w:val="20"/>
                <w:szCs w:val="20"/>
              </w:rPr>
              <w:t xml:space="preserve"> it appraises the organisation’s systems, not members’ understanding of what is required</w:t>
            </w:r>
            <w:r w:rsidR="00D644E1">
              <w:rPr>
                <w:rFonts w:ascii="Times New Roman" w:hAnsi="Times New Roman" w:cs="Times New Roman"/>
                <w:sz w:val="20"/>
                <w:szCs w:val="20"/>
              </w:rPr>
              <w:t>.</w:t>
            </w:r>
          </w:p>
        </w:tc>
      </w:tr>
      <w:tr w:rsidR="00AA148B" w:rsidRPr="00640D42" w14:paraId="1241B70E" w14:textId="77777777" w:rsidTr="00F277AC">
        <w:tc>
          <w:tcPr>
            <w:tcW w:w="0" w:type="auto"/>
          </w:tcPr>
          <w:p w14:paraId="5E6119CE"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Implementation plan</w:t>
            </w:r>
          </w:p>
        </w:tc>
        <w:tc>
          <w:tcPr>
            <w:tcW w:w="0" w:type="auto"/>
          </w:tcPr>
          <w:p w14:paraId="4E27D2EB"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Situational factor</w:t>
            </w:r>
          </w:p>
        </w:tc>
        <w:tc>
          <w:tcPr>
            <w:tcW w:w="0" w:type="auto"/>
          </w:tcPr>
          <w:p w14:paraId="68D36E77"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A document about intended actions</w:t>
            </w:r>
          </w:p>
        </w:tc>
      </w:tr>
      <w:tr w:rsidR="00AA148B" w:rsidRPr="00640D42" w14:paraId="036318D4" w14:textId="77777777" w:rsidTr="00F277AC">
        <w:tc>
          <w:tcPr>
            <w:tcW w:w="0" w:type="auto"/>
          </w:tcPr>
          <w:p w14:paraId="7E18562B"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Disclosure policies</w:t>
            </w:r>
          </w:p>
        </w:tc>
        <w:tc>
          <w:tcPr>
            <w:tcW w:w="0" w:type="auto"/>
          </w:tcPr>
          <w:p w14:paraId="06AEB7C5"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Situational factor</w:t>
            </w:r>
          </w:p>
        </w:tc>
        <w:tc>
          <w:tcPr>
            <w:tcW w:w="0" w:type="auto"/>
          </w:tcPr>
          <w:p w14:paraId="77CCB5B0"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Policy artefact</w:t>
            </w:r>
          </w:p>
        </w:tc>
      </w:tr>
      <w:tr w:rsidR="00AA148B" w:rsidRPr="00640D42" w14:paraId="7D5A7720" w14:textId="77777777" w:rsidTr="00F277AC">
        <w:tc>
          <w:tcPr>
            <w:tcW w:w="0" w:type="auto"/>
          </w:tcPr>
          <w:p w14:paraId="0BBC221C"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Transitional reliefs identified</w:t>
            </w:r>
          </w:p>
        </w:tc>
        <w:tc>
          <w:tcPr>
            <w:tcW w:w="0" w:type="auto"/>
          </w:tcPr>
          <w:p w14:paraId="4B753C47"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Resource availability</w:t>
            </w:r>
          </w:p>
        </w:tc>
        <w:tc>
          <w:tcPr>
            <w:tcW w:w="0" w:type="auto"/>
          </w:tcPr>
          <w:p w14:paraId="6B963ACB"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Which concessions the entity may draw on</w:t>
            </w:r>
          </w:p>
        </w:tc>
      </w:tr>
      <w:tr w:rsidR="00AA148B" w:rsidRPr="00640D42" w14:paraId="72DBC265" w14:textId="77777777" w:rsidTr="00F277AC">
        <w:tc>
          <w:tcPr>
            <w:tcW w:w="0" w:type="auto"/>
          </w:tcPr>
          <w:p w14:paraId="129910B9"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Materiality assessment</w:t>
            </w:r>
          </w:p>
        </w:tc>
        <w:tc>
          <w:tcPr>
            <w:tcW w:w="0" w:type="auto"/>
          </w:tcPr>
          <w:p w14:paraId="152333B2"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Task demands (partial)</w:t>
            </w:r>
          </w:p>
        </w:tc>
        <w:tc>
          <w:tcPr>
            <w:tcW w:w="0" w:type="auto"/>
          </w:tcPr>
          <w:p w14:paraId="0282E6C5"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Identifies which risks apply; does not measure whether preparers grasp their demands</w:t>
            </w:r>
          </w:p>
        </w:tc>
      </w:tr>
      <w:tr w:rsidR="00AA148B" w:rsidRPr="00640D42" w14:paraId="537D58FF" w14:textId="77777777" w:rsidTr="00F277AC">
        <w:tc>
          <w:tcPr>
            <w:tcW w:w="0" w:type="auto"/>
          </w:tcPr>
          <w:p w14:paraId="73BD8AB0"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Evidence of a governance structure</w:t>
            </w:r>
          </w:p>
        </w:tc>
        <w:tc>
          <w:tcPr>
            <w:tcW w:w="0" w:type="auto"/>
          </w:tcPr>
          <w:p w14:paraId="497E655E"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Situational factor</w:t>
            </w:r>
          </w:p>
        </w:tc>
        <w:tc>
          <w:tcPr>
            <w:tcW w:w="0" w:type="auto"/>
          </w:tcPr>
          <w:p w14:paraId="1103A27D"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Structure, not capability</w:t>
            </w:r>
          </w:p>
        </w:tc>
      </w:tr>
      <w:tr w:rsidR="00AA148B" w:rsidRPr="00640D42" w14:paraId="18E5055C" w14:textId="77777777" w:rsidTr="00F277AC">
        <w:tc>
          <w:tcPr>
            <w:tcW w:w="0" w:type="auto"/>
          </w:tcPr>
          <w:p w14:paraId="0ACC0256"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Board approval of policies</w:t>
            </w:r>
          </w:p>
        </w:tc>
        <w:tc>
          <w:tcPr>
            <w:tcW w:w="0" w:type="auto"/>
          </w:tcPr>
          <w:p w14:paraId="4F824C99"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Situational factor</w:t>
            </w:r>
          </w:p>
        </w:tc>
        <w:tc>
          <w:tcPr>
            <w:tcW w:w="0" w:type="auto"/>
          </w:tcPr>
          <w:p w14:paraId="54C15BA1"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A signature</w:t>
            </w:r>
          </w:p>
        </w:tc>
      </w:tr>
      <w:tr w:rsidR="00AA148B" w:rsidRPr="00640D42" w14:paraId="6F4521B7" w14:textId="77777777" w:rsidTr="00F277AC">
        <w:tc>
          <w:tcPr>
            <w:tcW w:w="0" w:type="auto"/>
          </w:tcPr>
          <w:p w14:paraId="250B540B"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Evidence of training</w:t>
            </w:r>
          </w:p>
        </w:tc>
        <w:tc>
          <w:tcPr>
            <w:tcW w:w="0" w:type="auto"/>
          </w:tcPr>
          <w:p w14:paraId="3EA3F79F"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Resource availability</w:t>
            </w:r>
          </w:p>
        </w:tc>
        <w:tc>
          <w:tcPr>
            <w:tcW w:w="0" w:type="auto"/>
          </w:tcPr>
          <w:p w14:paraId="335F6F7F"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Attendance, not comprehension</w:t>
            </w:r>
          </w:p>
        </w:tc>
      </w:tr>
      <w:tr w:rsidR="00AA148B" w:rsidRPr="00640D42" w14:paraId="233358DC" w14:textId="77777777" w:rsidTr="00F277AC">
        <w:tc>
          <w:tcPr>
            <w:tcW w:w="0" w:type="auto"/>
          </w:tcPr>
          <w:p w14:paraId="4A2B6DBB"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FRC registration of entity and professionals</w:t>
            </w:r>
          </w:p>
        </w:tc>
        <w:tc>
          <w:tcPr>
            <w:tcW w:w="0" w:type="auto"/>
          </w:tcPr>
          <w:p w14:paraId="7F1D6955"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Resource availability</w:t>
            </w:r>
          </w:p>
        </w:tc>
        <w:tc>
          <w:tcPr>
            <w:tcW w:w="0" w:type="auto"/>
          </w:tcPr>
          <w:p w14:paraId="265EF03F"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Credentialing</w:t>
            </w:r>
          </w:p>
        </w:tc>
      </w:tr>
      <w:tr w:rsidR="00AA148B" w:rsidRPr="00640D42" w14:paraId="040013C4" w14:textId="77777777" w:rsidTr="00F277AC">
        <w:tc>
          <w:tcPr>
            <w:tcW w:w="0" w:type="auto"/>
          </w:tcPr>
          <w:p w14:paraId="03E4BDB4"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Scenario-analysis models described</w:t>
            </w:r>
          </w:p>
        </w:tc>
        <w:tc>
          <w:tcPr>
            <w:tcW w:w="0" w:type="auto"/>
          </w:tcPr>
          <w:p w14:paraId="794E4454"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Resource availability</w:t>
            </w:r>
          </w:p>
        </w:tc>
        <w:tc>
          <w:tcPr>
            <w:tcW w:w="0" w:type="auto"/>
          </w:tcPr>
          <w:p w14:paraId="4AA05595"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Technical capability</w:t>
            </w:r>
          </w:p>
        </w:tc>
      </w:tr>
      <w:tr w:rsidR="00AA148B" w:rsidRPr="00640D42" w14:paraId="2D9C26C9" w14:textId="77777777" w:rsidTr="00F277AC">
        <w:tc>
          <w:tcPr>
            <w:tcW w:w="0" w:type="auto"/>
          </w:tcPr>
          <w:p w14:paraId="1203097E"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Risk management framework</w:t>
            </w:r>
          </w:p>
        </w:tc>
        <w:tc>
          <w:tcPr>
            <w:tcW w:w="0" w:type="auto"/>
          </w:tcPr>
          <w:p w14:paraId="198FDE99"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Resource availability</w:t>
            </w:r>
          </w:p>
        </w:tc>
        <w:tc>
          <w:tcPr>
            <w:tcW w:w="0" w:type="auto"/>
          </w:tcPr>
          <w:p w14:paraId="3F5B536C"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System capability</w:t>
            </w:r>
          </w:p>
        </w:tc>
      </w:tr>
      <w:tr w:rsidR="00AA148B" w:rsidRPr="00640D42" w14:paraId="5226E174" w14:textId="77777777" w:rsidTr="00F277AC">
        <w:tc>
          <w:tcPr>
            <w:tcW w:w="0" w:type="auto"/>
          </w:tcPr>
          <w:p w14:paraId="5A88AA9C"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Board approval of the framework</w:t>
            </w:r>
          </w:p>
        </w:tc>
        <w:tc>
          <w:tcPr>
            <w:tcW w:w="0" w:type="auto"/>
          </w:tcPr>
          <w:p w14:paraId="48060859"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Situational factor</w:t>
            </w:r>
          </w:p>
        </w:tc>
        <w:tc>
          <w:tcPr>
            <w:tcW w:w="0" w:type="auto"/>
          </w:tcPr>
          <w:p w14:paraId="2A7B2AD4"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A signature</w:t>
            </w:r>
          </w:p>
        </w:tc>
      </w:tr>
      <w:tr w:rsidR="00AA148B" w:rsidRPr="00640D42" w14:paraId="1C70B972" w14:textId="77777777" w:rsidTr="00F277AC">
        <w:tc>
          <w:tcPr>
            <w:tcW w:w="0" w:type="auto"/>
          </w:tcPr>
          <w:p w14:paraId="38A40232" w14:textId="224DBD79"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 xml:space="preserve">Metrics and targets </w:t>
            </w:r>
            <w:r w:rsidR="00D644E1">
              <w:rPr>
                <w:rFonts w:ascii="Times New Roman" w:hAnsi="Times New Roman" w:cs="Times New Roman"/>
                <w:sz w:val="20"/>
                <w:szCs w:val="20"/>
              </w:rPr>
              <w:t xml:space="preserve">are </w:t>
            </w:r>
            <w:r w:rsidRPr="00640D42">
              <w:rPr>
                <w:rFonts w:ascii="Times New Roman" w:hAnsi="Times New Roman" w:cs="Times New Roman"/>
                <w:sz w:val="20"/>
                <w:szCs w:val="20"/>
              </w:rPr>
              <w:t>described</w:t>
            </w:r>
            <w:r w:rsidR="00D644E1">
              <w:rPr>
                <w:rFonts w:ascii="Times New Roman" w:hAnsi="Times New Roman" w:cs="Times New Roman"/>
                <w:sz w:val="20"/>
                <w:szCs w:val="20"/>
              </w:rPr>
              <w:t>.</w:t>
            </w:r>
          </w:p>
        </w:tc>
        <w:tc>
          <w:tcPr>
            <w:tcW w:w="0" w:type="auto"/>
          </w:tcPr>
          <w:p w14:paraId="06F516F4"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Resource availability</w:t>
            </w:r>
          </w:p>
        </w:tc>
        <w:tc>
          <w:tcPr>
            <w:tcW w:w="0" w:type="auto"/>
          </w:tcPr>
          <w:p w14:paraId="037E3981"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Technical capability</w:t>
            </w:r>
          </w:p>
        </w:tc>
      </w:tr>
      <w:tr w:rsidR="00AA148B" w:rsidRPr="00640D42" w14:paraId="5A412489" w14:textId="77777777" w:rsidTr="00F277AC">
        <w:tc>
          <w:tcPr>
            <w:tcW w:w="0" w:type="auto"/>
          </w:tcPr>
          <w:p w14:paraId="2B870B01"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Board approval of metrics and targets</w:t>
            </w:r>
          </w:p>
        </w:tc>
        <w:tc>
          <w:tcPr>
            <w:tcW w:w="0" w:type="auto"/>
          </w:tcPr>
          <w:p w14:paraId="76BDEEDD"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Situational factor</w:t>
            </w:r>
          </w:p>
        </w:tc>
        <w:tc>
          <w:tcPr>
            <w:tcW w:w="0" w:type="auto"/>
          </w:tcPr>
          <w:p w14:paraId="6F819BC1"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A signature</w:t>
            </w:r>
          </w:p>
        </w:tc>
      </w:tr>
      <w:tr w:rsidR="00AA148B" w:rsidRPr="00640D42" w14:paraId="5D5FE2DA" w14:textId="77777777" w:rsidTr="00F277AC">
        <w:tc>
          <w:tcPr>
            <w:tcW w:w="0" w:type="auto"/>
          </w:tcPr>
          <w:p w14:paraId="10238B7E"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Financial effect of risks and opportunities</w:t>
            </w:r>
          </w:p>
        </w:tc>
        <w:tc>
          <w:tcPr>
            <w:tcW w:w="0" w:type="auto"/>
          </w:tcPr>
          <w:p w14:paraId="3EAB0D95"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Resource availability</w:t>
            </w:r>
          </w:p>
        </w:tc>
        <w:tc>
          <w:tcPr>
            <w:tcW w:w="0" w:type="auto"/>
          </w:tcPr>
          <w:p w14:paraId="4334D86F"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Analytical output</w:t>
            </w:r>
          </w:p>
        </w:tc>
      </w:tr>
      <w:tr w:rsidR="00AA148B" w:rsidRPr="00640D42" w14:paraId="060534D4" w14:textId="77777777" w:rsidTr="00F277AC">
        <w:tc>
          <w:tcPr>
            <w:tcW w:w="0" w:type="auto"/>
          </w:tcPr>
          <w:p w14:paraId="428EBECE"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Internal control over sustainability reporting</w:t>
            </w:r>
          </w:p>
        </w:tc>
        <w:tc>
          <w:tcPr>
            <w:tcW w:w="0" w:type="auto"/>
          </w:tcPr>
          <w:p w14:paraId="793AB71B"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Resource availability</w:t>
            </w:r>
          </w:p>
        </w:tc>
        <w:tc>
          <w:tcPr>
            <w:tcW w:w="0" w:type="auto"/>
          </w:tcPr>
          <w:p w14:paraId="5C8F7194"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System capability</w:t>
            </w:r>
          </w:p>
        </w:tc>
      </w:tr>
      <w:tr w:rsidR="00AA148B" w:rsidRPr="00640D42" w14:paraId="20CE3F10" w14:textId="77777777" w:rsidTr="00F277AC">
        <w:tc>
          <w:tcPr>
            <w:tcW w:w="0" w:type="auto"/>
          </w:tcPr>
          <w:p w14:paraId="10C85860"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b/>
                <w:bCs/>
                <w:sz w:val="20"/>
                <w:szCs w:val="20"/>
              </w:rPr>
              <w:t>Change commitment</w:t>
            </w:r>
          </w:p>
        </w:tc>
        <w:tc>
          <w:tcPr>
            <w:tcW w:w="0" w:type="auto"/>
          </w:tcPr>
          <w:p w14:paraId="70F3068E"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b/>
                <w:bCs/>
                <w:sz w:val="20"/>
                <w:szCs w:val="20"/>
              </w:rPr>
              <w:t>Not measured</w:t>
            </w:r>
          </w:p>
        </w:tc>
        <w:tc>
          <w:tcPr>
            <w:tcW w:w="0" w:type="auto"/>
          </w:tcPr>
          <w:p w14:paraId="364F71D1"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No item addresses shared resolve</w:t>
            </w:r>
          </w:p>
        </w:tc>
      </w:tr>
      <w:tr w:rsidR="00AA148B" w:rsidRPr="00640D42" w14:paraId="68CE2DB5" w14:textId="77777777" w:rsidTr="00F277AC">
        <w:tc>
          <w:tcPr>
            <w:tcW w:w="0" w:type="auto"/>
          </w:tcPr>
          <w:p w14:paraId="2355FE03"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b/>
                <w:bCs/>
                <w:sz w:val="20"/>
                <w:szCs w:val="20"/>
              </w:rPr>
              <w:t>Change efficacy</w:t>
            </w:r>
          </w:p>
        </w:tc>
        <w:tc>
          <w:tcPr>
            <w:tcW w:w="0" w:type="auto"/>
          </w:tcPr>
          <w:p w14:paraId="34FE9195"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b/>
                <w:bCs/>
                <w:sz w:val="20"/>
                <w:szCs w:val="20"/>
              </w:rPr>
              <w:t>Not measured</w:t>
            </w:r>
          </w:p>
        </w:tc>
        <w:tc>
          <w:tcPr>
            <w:tcW w:w="0" w:type="auto"/>
          </w:tcPr>
          <w:p w14:paraId="2523C876" w14:textId="77777777" w:rsidR="00AA148B" w:rsidRPr="00640D42" w:rsidRDefault="00AA148B" w:rsidP="005467AE">
            <w:pPr>
              <w:pStyle w:val="Compact"/>
              <w:jc w:val="both"/>
              <w:rPr>
                <w:rFonts w:ascii="Times New Roman" w:hAnsi="Times New Roman" w:cs="Times New Roman"/>
                <w:sz w:val="20"/>
                <w:szCs w:val="20"/>
              </w:rPr>
            </w:pPr>
            <w:r w:rsidRPr="00640D42">
              <w:rPr>
                <w:rFonts w:ascii="Times New Roman" w:hAnsi="Times New Roman" w:cs="Times New Roman"/>
                <w:sz w:val="20"/>
                <w:szCs w:val="20"/>
              </w:rPr>
              <w:t>No item addresses shared belief in collective capability</w:t>
            </w:r>
          </w:p>
        </w:tc>
      </w:tr>
    </w:tbl>
    <w:p w14:paraId="33801C75" w14:textId="29BE02D1" w:rsidR="002632DB" w:rsidRPr="00640D42" w:rsidRDefault="00A63444" w:rsidP="002632DB">
      <w:pPr>
        <w:pStyle w:val="BodyText"/>
        <w:jc w:val="both"/>
        <w:rPr>
          <w:rFonts w:ascii="Times New Roman" w:hAnsi="Times New Roman" w:cs="Times New Roman"/>
          <w:sz w:val="16"/>
          <w:szCs w:val="16"/>
        </w:rPr>
      </w:pPr>
      <w:r w:rsidRPr="00640D42">
        <w:rPr>
          <w:rFonts w:ascii="Times New Roman" w:hAnsi="Times New Roman" w:cs="Times New Roman"/>
          <w:i/>
          <w:iCs/>
          <w:sz w:val="16"/>
          <w:szCs w:val="16"/>
        </w:rPr>
        <w:t>Note</w:t>
      </w:r>
      <w:r w:rsidRPr="00640D42">
        <w:rPr>
          <w:rFonts w:ascii="Times New Roman" w:hAnsi="Times New Roman" w:cs="Times New Roman"/>
          <w:sz w:val="16"/>
          <w:szCs w:val="16"/>
        </w:rPr>
        <w:t>: The classification is interpretive.</w:t>
      </w:r>
      <w:r w:rsidR="00EC6EE3" w:rsidRPr="00640D42">
        <w:rPr>
          <w:rFonts w:ascii="Times New Roman" w:hAnsi="Times New Roman" w:cs="Times New Roman"/>
          <w:sz w:val="16"/>
          <w:szCs w:val="16"/>
          <w:lang w:val="en-GB"/>
        </w:rPr>
        <w:t xml:space="preserve"> Items coded as 'situational factors' measure whether a structure exists, not whether individuals believe in it or understand their role, which is what readiness comprises (Weiner, 2009)</w:t>
      </w:r>
    </w:p>
    <w:p w14:paraId="48BC6699" w14:textId="0FD451EC"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Two items touch task demands, and they do so obliquely: a gap analysis and a materiality assessment tell the regulator what the organisation has worked out on paper, and nothing about whether the people who must act on it understand what is being asked. </w:t>
      </w:r>
      <w:r w:rsidR="00A63444" w:rsidRPr="00640D42">
        <w:rPr>
          <w:rFonts w:ascii="Times New Roman" w:hAnsi="Times New Roman" w:cs="Times New Roman"/>
        </w:rPr>
        <w:t>All other factors fall into situational factors or resource availability</w:t>
      </w:r>
      <w:r w:rsidR="004540E8">
        <w:rPr>
          <w:rFonts w:ascii="Times New Roman" w:hAnsi="Times New Roman" w:cs="Times New Roman"/>
        </w:rPr>
        <w:t xml:space="preserve">, and no </w:t>
      </w:r>
      <w:r w:rsidR="00A63444" w:rsidRPr="00640D42">
        <w:rPr>
          <w:rFonts w:ascii="Times New Roman" w:hAnsi="Times New Roman" w:cs="Times New Roman"/>
        </w:rPr>
        <w:t xml:space="preserve">readiness </w:t>
      </w:r>
      <w:r w:rsidR="004540E8">
        <w:rPr>
          <w:rFonts w:ascii="Times New Roman" w:hAnsi="Times New Roman" w:cs="Times New Roman"/>
        </w:rPr>
        <w:t xml:space="preserve">component </w:t>
      </w:r>
      <w:r w:rsidR="00A63444" w:rsidRPr="00640D42">
        <w:rPr>
          <w:rFonts w:ascii="Times New Roman" w:hAnsi="Times New Roman" w:cs="Times New Roman"/>
        </w:rPr>
        <w:t>appears.</w:t>
      </w:r>
    </w:p>
    <w:p w14:paraId="15840F07" w14:textId="564480EA" w:rsidR="00AA148B" w:rsidRPr="00640D42" w:rsidRDefault="00A63444" w:rsidP="00AA148B">
      <w:pPr>
        <w:pStyle w:val="BodyText"/>
        <w:spacing w:line="360" w:lineRule="auto"/>
        <w:jc w:val="both"/>
        <w:rPr>
          <w:rFonts w:ascii="Times New Roman" w:hAnsi="Times New Roman" w:cs="Times New Roman"/>
        </w:rPr>
      </w:pPr>
      <w:r w:rsidRPr="00640D42">
        <w:rPr>
          <w:rFonts w:ascii="Times New Roman" w:hAnsi="Times New Roman" w:cs="Times New Roman"/>
        </w:rPr>
        <w:lastRenderedPageBreak/>
        <w:t>A charitable reading might argue that a firm which has genuinely done a materiality assessment has developed a collective understanding of task demands.</w:t>
      </w:r>
      <w:r w:rsidR="00AA148B" w:rsidRPr="00640D42">
        <w:rPr>
          <w:rFonts w:ascii="Times New Roman" w:hAnsi="Times New Roman" w:cs="Times New Roman"/>
        </w:rPr>
        <w:t xml:space="preserve"> </w:t>
      </w:r>
      <w:r w:rsidRPr="00640D42">
        <w:rPr>
          <w:rFonts w:ascii="Times New Roman" w:hAnsi="Times New Roman" w:cs="Times New Roman"/>
        </w:rPr>
        <w:t>This reading is available, and we do not resist it</w:t>
      </w:r>
      <w:r w:rsidR="00C54F48">
        <w:rPr>
          <w:rFonts w:ascii="Times New Roman" w:hAnsi="Times New Roman" w:cs="Times New Roman"/>
        </w:rPr>
        <w:t>; however, it</w:t>
      </w:r>
      <w:r w:rsidRPr="00640D42">
        <w:rPr>
          <w:rFonts w:ascii="Times New Roman" w:hAnsi="Times New Roman" w:cs="Times New Roman"/>
        </w:rPr>
        <w:t xml:space="preserve"> does not rescue the instrument because, even under the most generous coding, the two constructs that Weiner defines as readiness remain entirely unmeasured.</w:t>
      </w:r>
      <w:r w:rsidR="00C54F48">
        <w:rPr>
          <w:rFonts w:ascii="Times New Roman" w:hAnsi="Times New Roman" w:cs="Times New Roman"/>
        </w:rPr>
        <w:t xml:space="preserve"> </w:t>
      </w:r>
      <w:r w:rsidRPr="00640D42">
        <w:rPr>
          <w:rFonts w:ascii="Times New Roman" w:hAnsi="Times New Roman" w:cs="Times New Roman"/>
        </w:rPr>
        <w:t>The instrument measures the determinants of change efficacy and reports the results as readiness.</w:t>
      </w:r>
    </w:p>
    <w:p w14:paraId="06413EB6" w14:textId="47024D08" w:rsidR="00AA148B" w:rsidRPr="00640D42" w:rsidRDefault="00CA3481" w:rsidP="00AA148B">
      <w:pPr>
        <w:pStyle w:val="Heading3"/>
        <w:spacing w:line="360" w:lineRule="auto"/>
        <w:jc w:val="both"/>
        <w:rPr>
          <w:b/>
          <w:bCs/>
          <w:color w:val="auto"/>
        </w:rPr>
      </w:pPr>
      <w:bookmarkStart w:id="17" w:name="why-this-matters-practically"/>
      <w:bookmarkEnd w:id="16"/>
      <w:r>
        <w:rPr>
          <w:b/>
          <w:bCs/>
          <w:color w:val="auto"/>
        </w:rPr>
        <w:t>7</w:t>
      </w:r>
      <w:r w:rsidR="001056BE" w:rsidRPr="00640D42">
        <w:rPr>
          <w:b/>
          <w:bCs/>
          <w:color w:val="auto"/>
        </w:rPr>
        <w:t xml:space="preserve">.3 </w:t>
      </w:r>
      <w:r w:rsidR="00AA148B" w:rsidRPr="00640D42">
        <w:rPr>
          <w:b/>
          <w:bCs/>
          <w:color w:val="auto"/>
        </w:rPr>
        <w:t xml:space="preserve">Why </w:t>
      </w:r>
      <w:r w:rsidR="001056BE" w:rsidRPr="00640D42">
        <w:rPr>
          <w:b/>
          <w:bCs/>
          <w:color w:val="auto"/>
        </w:rPr>
        <w:t>This Matters Practically</w:t>
      </w:r>
    </w:p>
    <w:p w14:paraId="3E53D3BE" w14:textId="1D68BA6B" w:rsidR="00AA148B" w:rsidRPr="00640D42" w:rsidRDefault="00AA148B" w:rsidP="00D81118">
      <w:pPr>
        <w:pStyle w:val="FirstParagraph"/>
        <w:spacing w:line="360" w:lineRule="auto"/>
        <w:jc w:val="both"/>
        <w:rPr>
          <w:rFonts w:ascii="Times New Roman" w:hAnsi="Times New Roman" w:cs="Times New Roman"/>
        </w:rPr>
      </w:pPr>
      <w:r w:rsidRPr="00A65533">
        <w:rPr>
          <w:rFonts w:ascii="Times New Roman" w:hAnsi="Times New Roman" w:cs="Times New Roman"/>
          <w:b/>
          <w:bCs/>
        </w:rPr>
        <w:t xml:space="preserve">An entity can pass the FRC’s Readiness Test Assessment while being, in the only </w:t>
      </w:r>
      <w:r w:rsidR="006D1D0B">
        <w:rPr>
          <w:rFonts w:ascii="Times New Roman" w:hAnsi="Times New Roman" w:cs="Times New Roman"/>
          <w:b/>
          <w:bCs/>
        </w:rPr>
        <w:t>theoretically</w:t>
      </w:r>
      <w:r w:rsidRPr="00A65533">
        <w:rPr>
          <w:rFonts w:ascii="Times New Roman" w:hAnsi="Times New Roman" w:cs="Times New Roman"/>
          <w:b/>
          <w:bCs/>
        </w:rPr>
        <w:t xml:space="preserve"> defensible sense of the word, entirely unready</w:t>
      </w:r>
      <w:r w:rsidRPr="00640D42">
        <w:rPr>
          <w:rFonts w:ascii="Times New Roman" w:hAnsi="Times New Roman" w:cs="Times New Roman"/>
        </w:rPr>
        <w:t>.</w:t>
      </w:r>
      <w:r w:rsidR="00D81118" w:rsidRPr="00640D42">
        <w:rPr>
          <w:rFonts w:ascii="Times New Roman" w:hAnsi="Times New Roman" w:cs="Times New Roman"/>
        </w:rPr>
        <w:t xml:space="preserve"> </w:t>
      </w:r>
      <w:r w:rsidR="00A63444" w:rsidRPr="00640D42">
        <w:rPr>
          <w:rFonts w:ascii="Times New Roman" w:hAnsi="Times New Roman" w:cs="Times New Roman"/>
        </w:rPr>
        <w:t>It can hold the board resolution, file the gap analysis, have the systems, send people to the accredited training, and have a governance structure on paper, while the people who must produce and oversee the disclosures regard the exercise as a compliance formality and have no shared belief in their collective capability to deliver.</w:t>
      </w:r>
      <w:r w:rsidRPr="00640D42">
        <w:rPr>
          <w:rFonts w:ascii="Times New Roman" w:hAnsi="Times New Roman" w:cs="Times New Roman"/>
        </w:rPr>
        <w:t xml:space="preserve"> Weiner’s theory predicts, and the implementation literature broadly confirms, that such an organisation will not implement effectively regardless of what its filings look like. </w:t>
      </w:r>
      <w:r w:rsidR="00A63444" w:rsidRPr="00640D42">
        <w:rPr>
          <w:rFonts w:ascii="Times New Roman" w:hAnsi="Times New Roman" w:cs="Times New Roman"/>
        </w:rPr>
        <w:t>The regulator will not detect this because it does not measure it.</w:t>
      </w:r>
    </w:p>
    <w:p w14:paraId="30EF0255" w14:textId="64A7960B" w:rsidR="00AA148B" w:rsidRPr="00640D42" w:rsidRDefault="00A63444" w:rsidP="00AA148B">
      <w:pPr>
        <w:pStyle w:val="BodyText"/>
        <w:spacing w:line="360" w:lineRule="auto"/>
        <w:jc w:val="both"/>
        <w:rPr>
          <w:rFonts w:ascii="Times New Roman" w:hAnsi="Times New Roman" w:cs="Times New Roman"/>
        </w:rPr>
      </w:pPr>
      <w:r w:rsidRPr="00640D42">
        <w:rPr>
          <w:rFonts w:ascii="Times New Roman" w:hAnsi="Times New Roman" w:cs="Times New Roman"/>
        </w:rPr>
        <w:t>The consequence is a systematic optimistic bias in the national readiness picture at the point where the FRC most needs an accurate assessment</w:t>
      </w:r>
      <w:r w:rsidR="00A65533">
        <w:rPr>
          <w:rFonts w:ascii="Times New Roman" w:hAnsi="Times New Roman" w:cs="Times New Roman"/>
        </w:rPr>
        <w:t>, and d</w:t>
      </w:r>
      <w:r w:rsidRPr="00640D42">
        <w:rPr>
          <w:rFonts w:ascii="Times New Roman" w:hAnsi="Times New Roman" w:cs="Times New Roman"/>
        </w:rPr>
        <w:t>eterminants are cheaper to acquire than they are to resolve.</w:t>
      </w:r>
      <w:r w:rsidR="00AA148B" w:rsidRPr="00640D42">
        <w:rPr>
          <w:rFonts w:ascii="Times New Roman" w:hAnsi="Times New Roman" w:cs="Times New Roman"/>
        </w:rPr>
        <w:t xml:space="preserve"> </w:t>
      </w:r>
      <w:r w:rsidR="001A4262" w:rsidRPr="00640D42">
        <w:rPr>
          <w:rFonts w:ascii="Times New Roman" w:hAnsi="Times New Roman" w:cs="Times New Roman"/>
        </w:rPr>
        <w:t>A board resolution requires one meeting</w:t>
      </w:r>
      <w:r w:rsidR="00A65533">
        <w:rPr>
          <w:rFonts w:ascii="Times New Roman" w:hAnsi="Times New Roman" w:cs="Times New Roman"/>
        </w:rPr>
        <w:t xml:space="preserve">; </w:t>
      </w:r>
      <w:r w:rsidR="001A4262" w:rsidRPr="00640D42">
        <w:rPr>
          <w:rFonts w:ascii="Times New Roman" w:hAnsi="Times New Roman" w:cs="Times New Roman"/>
        </w:rPr>
        <w:t>A gap analysis can be conducted</w:t>
      </w:r>
      <w:r w:rsidR="00A65533">
        <w:rPr>
          <w:rFonts w:ascii="Times New Roman" w:hAnsi="Times New Roman" w:cs="Times New Roman"/>
        </w:rPr>
        <w:t>;</w:t>
      </w:r>
      <w:r w:rsidR="00AA148B" w:rsidRPr="00640D42">
        <w:rPr>
          <w:rFonts w:ascii="Times New Roman" w:hAnsi="Times New Roman" w:cs="Times New Roman"/>
        </w:rPr>
        <w:t xml:space="preserve"> Shared commitment and collective efficacy are slower, and </w:t>
      </w:r>
      <w:r w:rsidR="00A65533">
        <w:rPr>
          <w:rFonts w:ascii="Times New Roman" w:hAnsi="Times New Roman" w:cs="Times New Roman"/>
        </w:rPr>
        <w:t>these</w:t>
      </w:r>
      <w:r w:rsidR="00AA148B" w:rsidRPr="00640D42">
        <w:rPr>
          <w:rFonts w:ascii="Times New Roman" w:hAnsi="Times New Roman" w:cs="Times New Roman"/>
        </w:rPr>
        <w:t xml:space="preserve"> are what the instrument is silent on.</w:t>
      </w:r>
    </w:p>
    <w:p w14:paraId="5C393657" w14:textId="6B6B654A" w:rsidR="00AA148B" w:rsidRPr="00640D42" w:rsidRDefault="00CA3481" w:rsidP="00AA148B">
      <w:pPr>
        <w:pStyle w:val="Heading3"/>
        <w:spacing w:line="360" w:lineRule="auto"/>
        <w:jc w:val="both"/>
        <w:rPr>
          <w:b/>
          <w:bCs/>
          <w:color w:val="auto"/>
        </w:rPr>
      </w:pPr>
      <w:bookmarkStart w:id="18" w:name="the-strongest-objection-and-why-it-fails"/>
      <w:bookmarkEnd w:id="17"/>
      <w:r>
        <w:rPr>
          <w:b/>
          <w:bCs/>
          <w:color w:val="auto"/>
        </w:rPr>
        <w:t>7</w:t>
      </w:r>
      <w:r w:rsidR="00A65533" w:rsidRPr="00640D42">
        <w:rPr>
          <w:b/>
          <w:bCs/>
          <w:color w:val="auto"/>
        </w:rPr>
        <w:t xml:space="preserve">.4 </w:t>
      </w:r>
      <w:r w:rsidR="00AA148B" w:rsidRPr="00640D42">
        <w:rPr>
          <w:b/>
          <w:bCs/>
          <w:color w:val="auto"/>
        </w:rPr>
        <w:t xml:space="preserve">The </w:t>
      </w:r>
      <w:r w:rsidR="00A65533" w:rsidRPr="00640D42">
        <w:rPr>
          <w:b/>
          <w:bCs/>
          <w:color w:val="auto"/>
        </w:rPr>
        <w:t>Strongest Objection, And Why It Fails</w:t>
      </w:r>
    </w:p>
    <w:p w14:paraId="19E6A20A" w14:textId="1CC1468E" w:rsidR="00AA148B" w:rsidRPr="00640D42" w:rsidRDefault="001A4262"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A regulator might argue that change commitment and change efficacy are psychological states within a firm.</w:t>
      </w:r>
      <w:r w:rsidR="00AA148B" w:rsidRPr="00640D42">
        <w:rPr>
          <w:rFonts w:ascii="Times New Roman" w:hAnsi="Times New Roman" w:cs="Times New Roman"/>
        </w:rPr>
        <w:t xml:space="preserve"> </w:t>
      </w:r>
      <w:r w:rsidRPr="00640D42">
        <w:rPr>
          <w:rFonts w:ascii="Times New Roman" w:hAnsi="Times New Roman" w:cs="Times New Roman"/>
        </w:rPr>
        <w:t>Regulators cannot verify, audit, or enforce against them; however, documents are observable, evidenced, and enforceable.</w:t>
      </w:r>
      <w:r w:rsidR="00AA148B" w:rsidRPr="00640D42">
        <w:rPr>
          <w:rFonts w:ascii="Times New Roman" w:hAnsi="Times New Roman" w:cs="Times New Roman"/>
        </w:rPr>
        <w:t xml:space="preserve"> </w:t>
      </w:r>
      <w:r w:rsidRPr="00640D42">
        <w:rPr>
          <w:rFonts w:ascii="Times New Roman" w:hAnsi="Times New Roman" w:cs="Times New Roman"/>
        </w:rPr>
        <w:t>A readiness instrument that a regulator can use must measure what the regulator can see.</w:t>
      </w:r>
    </w:p>
    <w:p w14:paraId="2BA5B2C6" w14:textId="008A39DB" w:rsidR="007656ED" w:rsidRPr="007656ED" w:rsidRDefault="004F2713" w:rsidP="00AA148B">
      <w:pPr>
        <w:pStyle w:val="BodyText"/>
        <w:spacing w:line="360" w:lineRule="auto"/>
        <w:jc w:val="both"/>
        <w:rPr>
          <w:rFonts w:ascii="Times New Roman" w:hAnsi="Times New Roman" w:cs="Times New Roman"/>
          <w:b/>
          <w:bCs/>
          <w:lang w:val="en-GB"/>
        </w:rPr>
      </w:pPr>
      <w:r w:rsidRPr="004F2713">
        <w:rPr>
          <w:rFonts w:ascii="Times New Roman" w:hAnsi="Times New Roman" w:cs="Times New Roman"/>
          <w:lang w:val="en-GB"/>
        </w:rPr>
        <w:t xml:space="preserve">The objection has force but does not survive, because it answers a claim the paper is not making. It defeats the idea that the FRC should </w:t>
      </w:r>
      <w:r w:rsidRPr="004F2713">
        <w:rPr>
          <w:rFonts w:ascii="Times New Roman" w:hAnsi="Times New Roman" w:cs="Times New Roman"/>
          <w:i/>
          <w:iCs/>
          <w:lang w:val="en-GB"/>
        </w:rPr>
        <w:t>enforce</w:t>
      </w:r>
      <w:r w:rsidRPr="004F2713">
        <w:rPr>
          <w:rFonts w:ascii="Times New Roman" w:hAnsi="Times New Roman" w:cs="Times New Roman"/>
          <w:lang w:val="en-GB"/>
        </w:rPr>
        <w:t xml:space="preserve"> readiness</w:t>
      </w:r>
      <w:r w:rsidR="007656ED">
        <w:rPr>
          <w:rFonts w:ascii="Times New Roman" w:hAnsi="Times New Roman" w:cs="Times New Roman"/>
          <w:lang w:val="en-GB"/>
        </w:rPr>
        <w:t xml:space="preserve"> and </w:t>
      </w:r>
      <w:r w:rsidRPr="004F2713">
        <w:rPr>
          <w:rFonts w:ascii="Times New Roman" w:hAnsi="Times New Roman" w:cs="Times New Roman"/>
          <w:lang w:val="en-GB"/>
        </w:rPr>
        <w:t xml:space="preserve">leaves untouched the case for </w:t>
      </w:r>
      <w:r w:rsidRPr="004F2713">
        <w:rPr>
          <w:rFonts w:ascii="Times New Roman" w:hAnsi="Times New Roman" w:cs="Times New Roman"/>
          <w:i/>
          <w:iCs/>
          <w:lang w:val="en-GB"/>
        </w:rPr>
        <w:t>measuring</w:t>
      </w:r>
      <w:r w:rsidRPr="004F2713">
        <w:rPr>
          <w:rFonts w:ascii="Times New Roman" w:hAnsi="Times New Roman" w:cs="Times New Roman"/>
          <w:lang w:val="en-GB"/>
        </w:rPr>
        <w:t xml:space="preserve"> it, and the FRC is already doing the second. The Readiness Test Assessment is a diagnostic. It generates the national picture of preparedness on which the regulator calibrates its training, its guidance, and, in principle, its willingness to hold the deadline. </w:t>
      </w:r>
      <w:r w:rsidRPr="007656ED">
        <w:rPr>
          <w:rFonts w:ascii="Times New Roman" w:hAnsi="Times New Roman" w:cs="Times New Roman"/>
          <w:b/>
          <w:bCs/>
          <w:lang w:val="en-GB"/>
        </w:rPr>
        <w:t>A diagnostic does not have to be enforceable</w:t>
      </w:r>
      <w:r w:rsidR="007656ED">
        <w:rPr>
          <w:rFonts w:ascii="Times New Roman" w:hAnsi="Times New Roman" w:cs="Times New Roman"/>
          <w:b/>
          <w:bCs/>
          <w:lang w:val="en-GB"/>
        </w:rPr>
        <w:t>; i</w:t>
      </w:r>
      <w:r w:rsidRPr="007656ED">
        <w:rPr>
          <w:rFonts w:ascii="Times New Roman" w:hAnsi="Times New Roman" w:cs="Times New Roman"/>
          <w:b/>
          <w:bCs/>
          <w:lang w:val="en-GB"/>
        </w:rPr>
        <w:t>t has to be accurate.</w:t>
      </w:r>
    </w:p>
    <w:p w14:paraId="7405044F" w14:textId="77777777" w:rsidR="0063637A" w:rsidRDefault="0063637A" w:rsidP="000369FA">
      <w:pPr>
        <w:pStyle w:val="Heading3"/>
        <w:spacing w:before="180" w:after="180" w:line="360" w:lineRule="auto"/>
        <w:jc w:val="both"/>
        <w:rPr>
          <w:rFonts w:eastAsiaTheme="minorHAnsi"/>
          <w:color w:val="auto"/>
          <w:lang w:val="en-US" w:eastAsia="en-US"/>
        </w:rPr>
      </w:pPr>
      <w:bookmarkStart w:id="19" w:name="a-better-instrument-and-its-own-limits"/>
      <w:bookmarkEnd w:id="18"/>
      <w:r w:rsidRPr="0063637A">
        <w:rPr>
          <w:rFonts w:eastAsiaTheme="minorHAnsi"/>
          <w:color w:val="auto"/>
          <w:lang w:val="en-US" w:eastAsia="en-US"/>
        </w:rPr>
        <w:lastRenderedPageBreak/>
        <w:t>An instrument that overstates readiness hurts the regulator most, because the regulator is the one trusting it. Reading a national picture built from board resolutions and filed frameworks, the FRC will judge the market readier than it is, hold to a deadline the market cannot meet, and find out in 2028 what it could have known in 2026, while there was still time to act.</w:t>
      </w:r>
    </w:p>
    <w:p w14:paraId="121133D9" w14:textId="003DBB44" w:rsidR="00AA148B" w:rsidRPr="00EF6EAA" w:rsidRDefault="00CA3481" w:rsidP="00EF6EAA">
      <w:pPr>
        <w:rPr>
          <w:rFonts w:eastAsiaTheme="minorHAnsi"/>
          <w:sz w:val="24"/>
          <w:szCs w:val="24"/>
          <w:lang w:val="en-US" w:eastAsia="en-US"/>
        </w:rPr>
      </w:pPr>
      <w:r>
        <w:rPr>
          <w:b/>
          <w:bCs/>
          <w:sz w:val="24"/>
          <w:szCs w:val="24"/>
        </w:rPr>
        <w:t>7</w:t>
      </w:r>
      <w:r w:rsidR="002E035A" w:rsidRPr="00EF6EAA">
        <w:rPr>
          <w:b/>
          <w:bCs/>
          <w:sz w:val="24"/>
          <w:szCs w:val="24"/>
        </w:rPr>
        <w:t xml:space="preserve">.5 </w:t>
      </w:r>
      <w:r w:rsidR="00AA148B" w:rsidRPr="00EF6EAA">
        <w:rPr>
          <w:b/>
          <w:bCs/>
          <w:sz w:val="24"/>
          <w:szCs w:val="24"/>
        </w:rPr>
        <w:t xml:space="preserve">A </w:t>
      </w:r>
      <w:r w:rsidR="002E035A" w:rsidRPr="00EF6EAA">
        <w:rPr>
          <w:b/>
          <w:bCs/>
          <w:sz w:val="24"/>
          <w:szCs w:val="24"/>
        </w:rPr>
        <w:t>Better Instrument, And Its Own Limits</w:t>
      </w:r>
    </w:p>
    <w:p w14:paraId="38FECF91" w14:textId="6BE18431" w:rsidR="00AA148B" w:rsidRPr="00640D42" w:rsidRDefault="001A4262"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 xml:space="preserve">The Organisational Readiness for Implementing Change scale </w:t>
      </w:r>
      <w:r w:rsidR="002E3C36">
        <w:rPr>
          <w:rFonts w:ascii="Times New Roman" w:hAnsi="Times New Roman" w:cs="Times New Roman"/>
        </w:rPr>
        <w:t>comprises 12 items, is validated, is freely available, and takes less than 5</w:t>
      </w:r>
      <w:r w:rsidRPr="00640D42">
        <w:rPr>
          <w:rFonts w:ascii="Times New Roman" w:hAnsi="Times New Roman" w:cs="Times New Roman"/>
        </w:rPr>
        <w:t xml:space="preserve"> minutes to complete (Shea et al., 2014).</w:t>
      </w:r>
      <w:r w:rsidR="00AA148B" w:rsidRPr="00640D42">
        <w:rPr>
          <w:rFonts w:ascii="Times New Roman" w:hAnsi="Times New Roman" w:cs="Times New Roman"/>
        </w:rPr>
        <w:t xml:space="preserve"> </w:t>
      </w:r>
      <w:r w:rsidRPr="00640D42">
        <w:rPr>
          <w:rFonts w:ascii="Times New Roman" w:hAnsi="Times New Roman" w:cs="Times New Roman"/>
        </w:rPr>
        <w:t>Appended to the existing Readiness Test Assessment and administered to the board, audit committee, and preparers, it would give the FRC a measure of the construct its instrument is named after, alongside the determinants it already collects.</w:t>
      </w:r>
    </w:p>
    <w:p w14:paraId="226DCF4F" w14:textId="4779161D" w:rsidR="00AA148B" w:rsidRPr="00640D42" w:rsidRDefault="001A4262" w:rsidP="00AA148B">
      <w:pPr>
        <w:pStyle w:val="BodyText"/>
        <w:spacing w:line="360" w:lineRule="auto"/>
        <w:jc w:val="both"/>
        <w:rPr>
          <w:rFonts w:ascii="Times New Roman" w:hAnsi="Times New Roman" w:cs="Times New Roman"/>
        </w:rPr>
      </w:pPr>
      <w:r w:rsidRPr="00640D42">
        <w:rPr>
          <w:rFonts w:ascii="Times New Roman" w:hAnsi="Times New Roman" w:cs="Times New Roman"/>
        </w:rPr>
        <w:t>The recommendation carries a defect of its own, and we should acknowledge this.</w:t>
      </w:r>
      <w:r w:rsidR="00AA148B" w:rsidRPr="00640D42">
        <w:rPr>
          <w:rFonts w:ascii="Times New Roman" w:hAnsi="Times New Roman" w:cs="Times New Roman"/>
        </w:rPr>
        <w:t xml:space="preserve"> </w:t>
      </w:r>
      <w:r w:rsidRPr="00640D42">
        <w:rPr>
          <w:rFonts w:ascii="Times New Roman" w:hAnsi="Times New Roman" w:cs="Times New Roman"/>
        </w:rPr>
        <w:t>Readiness scales are self-reported, and self-reports can be manipulated.</w:t>
      </w:r>
      <w:r w:rsidR="00AA148B" w:rsidRPr="00640D42">
        <w:rPr>
          <w:rFonts w:ascii="Times New Roman" w:hAnsi="Times New Roman" w:cs="Times New Roman"/>
        </w:rPr>
        <w:t xml:space="preserve"> </w:t>
      </w:r>
      <w:r w:rsidRPr="00640D42">
        <w:rPr>
          <w:rFonts w:ascii="Times New Roman" w:hAnsi="Times New Roman" w:cs="Times New Roman"/>
        </w:rPr>
        <w:t>An entity that wants to appear ready can tell its people how to respond. The FRC cannot audit a psychological state, and attaching a questionnaire to a filing regime creates an obvious incentive to complete it strategically.</w:t>
      </w:r>
    </w:p>
    <w:p w14:paraId="69B6D72C" w14:textId="49CBB692" w:rsidR="00AA148B" w:rsidRPr="00640D42" w:rsidRDefault="004C2F22" w:rsidP="00AA148B">
      <w:pPr>
        <w:pStyle w:val="BodyText"/>
        <w:spacing w:line="360" w:lineRule="auto"/>
        <w:jc w:val="both"/>
        <w:rPr>
          <w:rFonts w:ascii="Times New Roman" w:hAnsi="Times New Roman" w:cs="Times New Roman"/>
        </w:rPr>
      </w:pPr>
      <w:r>
        <w:rPr>
          <w:rFonts w:ascii="Times New Roman" w:hAnsi="Times New Roman" w:cs="Times New Roman"/>
        </w:rPr>
        <w:t>Three</w:t>
      </w:r>
      <w:r w:rsidR="001A4262" w:rsidRPr="00640D42">
        <w:rPr>
          <w:rFonts w:ascii="Times New Roman" w:hAnsi="Times New Roman" w:cs="Times New Roman"/>
        </w:rPr>
        <w:t xml:space="preserve"> things make the addition worth having</w:t>
      </w:r>
      <w:r w:rsidR="00BD1B96">
        <w:rPr>
          <w:rFonts w:ascii="Times New Roman" w:hAnsi="Times New Roman" w:cs="Times New Roman"/>
        </w:rPr>
        <w:t xml:space="preserve">: </w:t>
      </w:r>
      <w:r w:rsidR="001A4262" w:rsidRPr="00640D42">
        <w:rPr>
          <w:rFonts w:ascii="Times New Roman" w:hAnsi="Times New Roman" w:cs="Times New Roman"/>
        </w:rPr>
        <w:t>Anonymous administration, ideally with collection by a third party rather than submission by the entity alongside its board resolutions, closes the most direct route for coordinated answering.</w:t>
      </w:r>
      <w:r w:rsidR="00AA148B" w:rsidRPr="00640D42">
        <w:rPr>
          <w:rFonts w:ascii="Times New Roman" w:hAnsi="Times New Roman" w:cs="Times New Roman"/>
        </w:rPr>
        <w:t xml:space="preserve"> </w:t>
      </w:r>
      <w:r w:rsidR="001A4262" w:rsidRPr="00640D42">
        <w:rPr>
          <w:rFonts w:ascii="Times New Roman" w:hAnsi="Times New Roman" w:cs="Times New Roman"/>
        </w:rPr>
        <w:t>The divergence between the documentary picture and the survey picture is itself diagnostic, and an entity whose filings are immaculate</w:t>
      </w:r>
      <w:r w:rsidR="002E3C36">
        <w:rPr>
          <w:rFonts w:ascii="Times New Roman" w:hAnsi="Times New Roman" w:cs="Times New Roman"/>
        </w:rPr>
        <w:t>. At the same time,</w:t>
      </w:r>
      <w:r w:rsidR="001A4262" w:rsidRPr="00640D42">
        <w:rPr>
          <w:rFonts w:ascii="Times New Roman" w:hAnsi="Times New Roman" w:cs="Times New Roman"/>
        </w:rPr>
        <w:t xml:space="preserve"> its preparers report </w:t>
      </w:r>
      <w:r w:rsidR="005A0F9F">
        <w:rPr>
          <w:rFonts w:ascii="Times New Roman" w:hAnsi="Times New Roman" w:cs="Times New Roman"/>
        </w:rPr>
        <w:t xml:space="preserve">that </w:t>
      </w:r>
      <w:r w:rsidR="001A4262" w:rsidRPr="00640D42">
        <w:rPr>
          <w:rFonts w:ascii="Times New Roman" w:hAnsi="Times New Roman" w:cs="Times New Roman"/>
        </w:rPr>
        <w:t>low collective efficacy is telling the regulator something the present instrument cannot hear.</w:t>
      </w:r>
      <w:r w:rsidR="00AA148B" w:rsidRPr="00640D42">
        <w:rPr>
          <w:rFonts w:ascii="Times New Roman" w:hAnsi="Times New Roman" w:cs="Times New Roman"/>
        </w:rPr>
        <w:t xml:space="preserve"> </w:t>
      </w:r>
      <w:r w:rsidR="001A4262" w:rsidRPr="00640D42">
        <w:rPr>
          <w:rFonts w:ascii="Times New Roman" w:hAnsi="Times New Roman" w:cs="Times New Roman"/>
        </w:rPr>
        <w:t>Gaming a readiness scale requires an organisation to know that its readiness is low and to conceal it, which is a better position than one in which nobody has asked.</w:t>
      </w:r>
    </w:p>
    <w:p w14:paraId="2669AC25" w14:textId="006FBDCF" w:rsidR="00AA148B" w:rsidRPr="00640D42" w:rsidRDefault="001A4262" w:rsidP="00AA148B">
      <w:pPr>
        <w:pStyle w:val="BodyText"/>
        <w:spacing w:line="360" w:lineRule="auto"/>
        <w:jc w:val="both"/>
        <w:rPr>
          <w:rFonts w:ascii="Times New Roman" w:hAnsi="Times New Roman" w:cs="Times New Roman"/>
        </w:rPr>
      </w:pPr>
      <w:r w:rsidRPr="00640D42">
        <w:rPr>
          <w:rFonts w:ascii="Times New Roman" w:hAnsi="Times New Roman" w:cs="Times New Roman"/>
        </w:rPr>
        <w:t>The FRC would then be able to tell an entity that has the documents and resolve from an entity that has only the documents.</w:t>
      </w:r>
      <w:r w:rsidR="00AA148B" w:rsidRPr="00640D42">
        <w:rPr>
          <w:rFonts w:ascii="Times New Roman" w:hAnsi="Times New Roman" w:cs="Times New Roman"/>
        </w:rPr>
        <w:t xml:space="preserve"> </w:t>
      </w:r>
      <w:r w:rsidRPr="00640D42">
        <w:rPr>
          <w:rFonts w:ascii="Times New Roman" w:hAnsi="Times New Roman" w:cs="Times New Roman"/>
        </w:rPr>
        <w:t>To the present instrument, the two look alike, and in 2028, they will not behave similarly.</w:t>
      </w:r>
    </w:p>
    <w:p w14:paraId="2B11CBD7" w14:textId="2059022C" w:rsidR="00AA148B" w:rsidRPr="00CA3481" w:rsidRDefault="00CA3481" w:rsidP="00AA148B">
      <w:pPr>
        <w:pStyle w:val="Heading2"/>
        <w:spacing w:line="360" w:lineRule="auto"/>
        <w:jc w:val="both"/>
        <w:rPr>
          <w:b/>
          <w:bCs/>
          <w:color w:val="auto"/>
          <w:sz w:val="28"/>
          <w:szCs w:val="28"/>
        </w:rPr>
      </w:pPr>
      <w:bookmarkStart w:id="20" w:name="X09461c8c0eb1b6e95e4f81948f313d2c8e08476"/>
      <w:bookmarkEnd w:id="14"/>
      <w:bookmarkEnd w:id="19"/>
      <w:r w:rsidRPr="00CA3481">
        <w:rPr>
          <w:b/>
          <w:bCs/>
          <w:color w:val="auto"/>
          <w:sz w:val="28"/>
          <w:szCs w:val="28"/>
        </w:rPr>
        <w:t>8</w:t>
      </w:r>
      <w:r w:rsidR="00AA148B" w:rsidRPr="00CA3481">
        <w:rPr>
          <w:b/>
          <w:bCs/>
          <w:color w:val="auto"/>
          <w:sz w:val="28"/>
          <w:szCs w:val="28"/>
        </w:rPr>
        <w:t>. Defect 3: The Mandate Whose Enforcement Was Withdrawn in Advance</w:t>
      </w:r>
    </w:p>
    <w:p w14:paraId="3F82D0A9" w14:textId="77777777" w:rsidR="002E64CC" w:rsidRPr="002E64CC" w:rsidRDefault="002E64CC" w:rsidP="00180DBA">
      <w:pPr>
        <w:pStyle w:val="Heading2"/>
        <w:spacing w:before="180" w:after="180" w:line="360" w:lineRule="auto"/>
        <w:jc w:val="both"/>
        <w:rPr>
          <w:rFonts w:eastAsiaTheme="minorHAnsi"/>
          <w:color w:val="auto"/>
          <w:sz w:val="24"/>
          <w:szCs w:val="24"/>
          <w:lang w:val="en-US" w:eastAsia="en-US"/>
        </w:rPr>
      </w:pPr>
      <w:bookmarkStart w:id="21" w:name="X0f82248f3468b80a9b5aeb37200bf1853dc3df2"/>
      <w:bookmarkEnd w:id="20"/>
      <w:r w:rsidRPr="002E64CC">
        <w:rPr>
          <w:rFonts w:eastAsiaTheme="minorHAnsi"/>
          <w:color w:val="auto"/>
          <w:sz w:val="24"/>
          <w:szCs w:val="24"/>
          <w:lang w:val="en-US" w:eastAsia="en-US"/>
        </w:rPr>
        <w:t xml:space="preserve">The Roadmap's final substantive section makes the FRC responsible for monitoring and enforcement under the amended Act, then states that enforcement will initially focus on supporting and guiding entities, </w:t>
      </w:r>
      <w:r w:rsidRPr="002E64CC">
        <w:rPr>
          <w:rFonts w:eastAsiaTheme="minorHAnsi"/>
          <w:color w:val="auto"/>
          <w:sz w:val="24"/>
          <w:szCs w:val="24"/>
          <w:lang w:val="en-US" w:eastAsia="en-US"/>
        </w:rPr>
        <w:lastRenderedPageBreak/>
        <w:t>and that the Council does not expect to apply sanctions at the early stage of adoption (FRC Nigeria, 2026b, §12).</w:t>
      </w:r>
    </w:p>
    <w:p w14:paraId="43D35960" w14:textId="25351667" w:rsidR="002E64CC" w:rsidRPr="002E64CC" w:rsidRDefault="002E64CC" w:rsidP="00180DBA">
      <w:pPr>
        <w:pStyle w:val="Heading2"/>
        <w:spacing w:before="180" w:after="180" w:line="360" w:lineRule="auto"/>
        <w:jc w:val="both"/>
        <w:rPr>
          <w:rFonts w:eastAsiaTheme="minorHAnsi"/>
          <w:color w:val="auto"/>
          <w:sz w:val="24"/>
          <w:szCs w:val="24"/>
          <w:lang w:val="en-US" w:eastAsia="en-US"/>
        </w:rPr>
      </w:pPr>
      <w:r w:rsidRPr="002E64CC">
        <w:rPr>
          <w:rFonts w:eastAsiaTheme="minorHAnsi"/>
          <w:color w:val="auto"/>
          <w:sz w:val="24"/>
          <w:szCs w:val="24"/>
          <w:lang w:val="en-US" w:eastAsia="en-US"/>
        </w:rPr>
        <w:t>The power is there</w:t>
      </w:r>
      <w:r w:rsidR="00893673">
        <w:rPr>
          <w:rFonts w:eastAsiaTheme="minorHAnsi"/>
          <w:color w:val="auto"/>
          <w:sz w:val="24"/>
          <w:szCs w:val="24"/>
          <w:lang w:val="en-US" w:eastAsia="en-US"/>
        </w:rPr>
        <w:t xml:space="preserve">: </w:t>
      </w:r>
      <w:r w:rsidRPr="002E64CC">
        <w:rPr>
          <w:rFonts w:eastAsiaTheme="minorHAnsi"/>
          <w:color w:val="auto"/>
          <w:sz w:val="24"/>
          <w:szCs w:val="24"/>
          <w:lang w:val="en-US" w:eastAsia="en-US"/>
        </w:rPr>
        <w:t>SRG 1 applies the FRC's Rule 14 on non-compliance to the Guideline (FRC Nigeria, 2026c, item 19)</w:t>
      </w:r>
      <w:r w:rsidR="00893673">
        <w:rPr>
          <w:rFonts w:eastAsiaTheme="minorHAnsi"/>
          <w:color w:val="auto"/>
          <w:sz w:val="24"/>
          <w:szCs w:val="24"/>
          <w:lang w:val="en-US" w:eastAsia="en-US"/>
        </w:rPr>
        <w:t xml:space="preserve">, but the </w:t>
      </w:r>
      <w:r w:rsidRPr="002E64CC">
        <w:rPr>
          <w:rFonts w:eastAsiaTheme="minorHAnsi"/>
          <w:color w:val="auto"/>
          <w:sz w:val="24"/>
          <w:szCs w:val="24"/>
          <w:lang w:val="en-US" w:eastAsia="en-US"/>
        </w:rPr>
        <w:t>regulator has announced, in the instrument that creates the obligation, that it does not expect to use it.</w:t>
      </w:r>
    </w:p>
    <w:p w14:paraId="2E1C9C5B" w14:textId="77777777" w:rsidR="002E64CC" w:rsidRPr="002E64CC" w:rsidRDefault="002E64CC" w:rsidP="00180DBA">
      <w:pPr>
        <w:pStyle w:val="Heading2"/>
        <w:spacing w:before="180" w:after="180" w:line="360" w:lineRule="auto"/>
        <w:jc w:val="both"/>
        <w:rPr>
          <w:rFonts w:eastAsiaTheme="minorHAnsi"/>
          <w:color w:val="auto"/>
          <w:sz w:val="24"/>
          <w:szCs w:val="24"/>
          <w:lang w:val="en-US" w:eastAsia="en-US"/>
        </w:rPr>
      </w:pPr>
      <w:r w:rsidRPr="002E64CC">
        <w:rPr>
          <w:rFonts w:eastAsiaTheme="minorHAnsi"/>
          <w:color w:val="auto"/>
          <w:sz w:val="24"/>
          <w:szCs w:val="24"/>
          <w:lang w:val="en-US" w:eastAsia="en-US"/>
        </w:rPr>
        <w:t>This is the defect that most directly engages the literature. Christensen, Hail, and Leuz (2021) hold that reporting mandates work only where enforcement capacity and firm-level incentives support them. Bova and Pereira (2012) show what follows without enforcement: mandatory IFRS adoption in Kenya, an open-market economy with limited enforcement resources, produced scattered compliance rather than convergence, with the variation driven by firm incentives rather than by the standard.</w:t>
      </w:r>
    </w:p>
    <w:p w14:paraId="15AE6136" w14:textId="77777777" w:rsidR="002E64CC" w:rsidRPr="002E64CC" w:rsidRDefault="002E64CC" w:rsidP="00180DBA">
      <w:pPr>
        <w:pStyle w:val="Heading2"/>
        <w:spacing w:before="180" w:after="180" w:line="360" w:lineRule="auto"/>
        <w:jc w:val="both"/>
        <w:rPr>
          <w:rFonts w:eastAsiaTheme="minorHAnsi"/>
          <w:color w:val="auto"/>
          <w:sz w:val="24"/>
          <w:szCs w:val="24"/>
          <w:lang w:val="en-US" w:eastAsia="en-US"/>
        </w:rPr>
      </w:pPr>
      <w:r w:rsidRPr="002E64CC">
        <w:rPr>
          <w:rFonts w:eastAsiaTheme="minorHAnsi"/>
          <w:color w:val="auto"/>
          <w:sz w:val="24"/>
          <w:szCs w:val="24"/>
          <w:lang w:val="en-US" w:eastAsia="en-US"/>
        </w:rPr>
        <w:t>The comparison should not be pushed too far. Transitional forbearance is common, and regulators in the European Union, the United States, and across Africa have all gone easy in the first years of a new regime. What is unusual is putting it in writing. ICPAK's Kenyan roadmap (2023) contains no forbearance statement, and South Africa's JSE regime (2022) is voluntary, so among African jurisdictions with a mandate, Nigeria stands alone in publishing the withdrawal of enforcement in the governing instrument. That is the claim that survives, and it is the one that matters. Informal forbearance leaves the deterrent intact because a firm cannot count on it. Forbearance written into the instrument removes it, because a firm can.</w:t>
      </w:r>
    </w:p>
    <w:p w14:paraId="295E7CDE" w14:textId="17188A0E" w:rsidR="002E64CC" w:rsidRPr="002E64CC" w:rsidRDefault="002E64CC" w:rsidP="00180DBA">
      <w:pPr>
        <w:pStyle w:val="Heading2"/>
        <w:spacing w:before="180" w:after="180" w:line="360" w:lineRule="auto"/>
        <w:jc w:val="both"/>
        <w:rPr>
          <w:rFonts w:eastAsiaTheme="minorHAnsi"/>
          <w:color w:val="auto"/>
          <w:sz w:val="24"/>
          <w:szCs w:val="24"/>
          <w:lang w:val="en-US" w:eastAsia="en-US"/>
        </w:rPr>
      </w:pPr>
      <w:r w:rsidRPr="002E64CC">
        <w:rPr>
          <w:rFonts w:eastAsiaTheme="minorHAnsi"/>
          <w:color w:val="auto"/>
          <w:sz w:val="24"/>
          <w:szCs w:val="24"/>
          <w:lang w:val="en-US" w:eastAsia="en-US"/>
        </w:rPr>
        <w:t>Consider the position of a Nigerian Public Interest Entity in 2027. It faces real cost in systems, data collection, scenario models, accredited training, professional registration, and eventually assurance. It faces an obligation whose oversight body has not been named</w:t>
      </w:r>
      <w:r w:rsidR="0030214E">
        <w:rPr>
          <w:rFonts w:eastAsiaTheme="minorHAnsi"/>
          <w:color w:val="auto"/>
          <w:sz w:val="24"/>
          <w:szCs w:val="24"/>
          <w:lang w:val="en-US" w:eastAsia="en-US"/>
        </w:rPr>
        <w:t>, a</w:t>
      </w:r>
      <w:r w:rsidRPr="002E64CC">
        <w:rPr>
          <w:rFonts w:eastAsiaTheme="minorHAnsi"/>
          <w:color w:val="auto"/>
          <w:sz w:val="24"/>
          <w:szCs w:val="24"/>
          <w:lang w:val="en-US" w:eastAsia="en-US"/>
        </w:rPr>
        <w:t xml:space="preserve">nd faces a regulator that has said in writing it does not expect to sanction early non-compliance. Filing the </w:t>
      </w:r>
      <w:r w:rsidR="00132A9E">
        <w:rPr>
          <w:rFonts w:eastAsiaTheme="minorHAnsi"/>
          <w:color w:val="auto"/>
          <w:sz w:val="24"/>
          <w:szCs w:val="24"/>
          <w:lang w:val="en-US" w:eastAsia="en-US"/>
        </w:rPr>
        <w:t>seventeen</w:t>
      </w:r>
      <w:r w:rsidRPr="002E64CC">
        <w:rPr>
          <w:rFonts w:eastAsiaTheme="minorHAnsi"/>
          <w:color w:val="auto"/>
          <w:sz w:val="24"/>
          <w:szCs w:val="24"/>
          <w:lang w:val="en-US" w:eastAsia="en-US"/>
        </w:rPr>
        <w:t xml:space="preserve"> documents and deferring the substantive work is the rational response, because the documents are cheap, the test is passable, and the sanction has been disavowed. This is not a prediction about Nigerian firms</w:t>
      </w:r>
      <w:r w:rsidR="005D5760">
        <w:rPr>
          <w:rFonts w:eastAsiaTheme="minorHAnsi"/>
          <w:color w:val="auto"/>
          <w:sz w:val="24"/>
          <w:szCs w:val="24"/>
          <w:lang w:val="en-US" w:eastAsia="en-US"/>
        </w:rPr>
        <w:t xml:space="preserve"> but </w:t>
      </w:r>
      <w:r w:rsidRPr="002E64CC">
        <w:rPr>
          <w:rFonts w:eastAsiaTheme="minorHAnsi"/>
          <w:color w:val="auto"/>
          <w:sz w:val="24"/>
          <w:szCs w:val="24"/>
          <w:lang w:val="en-US" w:eastAsia="en-US"/>
        </w:rPr>
        <w:t>a description of the incentives the framework sets.</w:t>
      </w:r>
    </w:p>
    <w:p w14:paraId="76EA3C07" w14:textId="15456EED" w:rsidR="00180DBA" w:rsidRDefault="002E64CC" w:rsidP="00180DBA">
      <w:pPr>
        <w:pStyle w:val="Heading2"/>
        <w:spacing w:before="180" w:after="180" w:line="360" w:lineRule="auto"/>
        <w:jc w:val="both"/>
        <w:rPr>
          <w:rFonts w:eastAsiaTheme="minorHAnsi"/>
          <w:color w:val="auto"/>
          <w:sz w:val="24"/>
          <w:szCs w:val="24"/>
          <w:lang w:val="en-US" w:eastAsia="en-US"/>
        </w:rPr>
      </w:pPr>
      <w:r w:rsidRPr="002E64CC">
        <w:rPr>
          <w:rFonts w:eastAsiaTheme="minorHAnsi"/>
          <w:color w:val="auto"/>
          <w:sz w:val="24"/>
          <w:szCs w:val="24"/>
          <w:lang w:val="en-US" w:eastAsia="en-US"/>
        </w:rPr>
        <w:t>The FRC's motive is clear and, on its own, defensible. A regulator bringing a demanding regime into a market with thin capability may reasonably want to build capacity before punishing failure, and the Roadmap's supportive tone reflects that. The trouble is the announcement, not the forbearance</w:t>
      </w:r>
      <w:r w:rsidR="000D2237">
        <w:rPr>
          <w:rFonts w:eastAsiaTheme="minorHAnsi"/>
          <w:color w:val="auto"/>
          <w:sz w:val="24"/>
          <w:szCs w:val="24"/>
          <w:lang w:val="en-US" w:eastAsia="en-US"/>
        </w:rPr>
        <w:t>, because a</w:t>
      </w:r>
      <w:r w:rsidRPr="002E64CC">
        <w:rPr>
          <w:rFonts w:eastAsiaTheme="minorHAnsi"/>
          <w:color w:val="auto"/>
          <w:sz w:val="24"/>
          <w:szCs w:val="24"/>
          <w:lang w:val="en-US" w:eastAsia="en-US"/>
        </w:rPr>
        <w:t xml:space="preserve"> </w:t>
      </w:r>
      <w:r w:rsidRPr="002E64CC">
        <w:rPr>
          <w:rFonts w:eastAsiaTheme="minorHAnsi"/>
          <w:color w:val="auto"/>
          <w:sz w:val="24"/>
          <w:szCs w:val="24"/>
          <w:lang w:val="en-US" w:eastAsia="en-US"/>
        </w:rPr>
        <w:lastRenderedPageBreak/>
        <w:t xml:space="preserve">regulator that means to be lenient can </w:t>
      </w:r>
      <w:r w:rsidR="005D5760">
        <w:rPr>
          <w:rFonts w:eastAsiaTheme="minorHAnsi"/>
          <w:color w:val="auto"/>
          <w:sz w:val="24"/>
          <w:szCs w:val="24"/>
          <w:lang w:val="en-US" w:eastAsia="en-US"/>
        </w:rPr>
        <w:t>maintain deterrence</w:t>
      </w:r>
      <w:r w:rsidRPr="002E64CC">
        <w:rPr>
          <w:rFonts w:eastAsiaTheme="minorHAnsi"/>
          <w:color w:val="auto"/>
          <w:sz w:val="24"/>
          <w:szCs w:val="24"/>
          <w:lang w:val="en-US" w:eastAsia="en-US"/>
        </w:rPr>
        <w:t xml:space="preserve"> by staying quiet. Publishing the leniency turns a mandate into an expectation.</w:t>
      </w:r>
    </w:p>
    <w:p w14:paraId="01350DF2" w14:textId="6C832A22" w:rsidR="00AA148B" w:rsidRPr="00BC2D50" w:rsidRDefault="00BC2D50" w:rsidP="002E64CC">
      <w:pPr>
        <w:pStyle w:val="Heading2"/>
        <w:spacing w:line="360" w:lineRule="auto"/>
        <w:jc w:val="both"/>
        <w:rPr>
          <w:b/>
          <w:bCs/>
          <w:color w:val="auto"/>
          <w:sz w:val="28"/>
          <w:szCs w:val="28"/>
        </w:rPr>
      </w:pPr>
      <w:r w:rsidRPr="00BC2D50">
        <w:rPr>
          <w:b/>
          <w:bCs/>
          <w:color w:val="auto"/>
          <w:sz w:val="28"/>
          <w:szCs w:val="28"/>
        </w:rPr>
        <w:t>9</w:t>
      </w:r>
      <w:r w:rsidR="00AA148B" w:rsidRPr="00BC2D50">
        <w:rPr>
          <w:b/>
          <w:bCs/>
          <w:color w:val="auto"/>
          <w:sz w:val="28"/>
          <w:szCs w:val="28"/>
        </w:rPr>
        <w:t xml:space="preserve">. Defect 4: The Assurance Timetable </w:t>
      </w:r>
      <w:r w:rsidR="00171E0D" w:rsidRPr="00BC2D50">
        <w:rPr>
          <w:b/>
          <w:bCs/>
          <w:color w:val="auto"/>
          <w:sz w:val="28"/>
          <w:szCs w:val="28"/>
        </w:rPr>
        <w:t>Runs in The Wrong Order</w:t>
      </w:r>
    </w:p>
    <w:p w14:paraId="7B050D1F" w14:textId="77777777" w:rsidR="00BC7604" w:rsidRDefault="00E5229E" w:rsidP="00BC7604">
      <w:pPr>
        <w:pStyle w:val="Heading2"/>
        <w:spacing w:before="180" w:after="180" w:line="360" w:lineRule="auto"/>
        <w:jc w:val="both"/>
        <w:rPr>
          <w:rFonts w:eastAsiaTheme="minorHAnsi"/>
          <w:color w:val="auto"/>
          <w:sz w:val="24"/>
          <w:szCs w:val="24"/>
          <w:lang w:val="en-US" w:eastAsia="en-US"/>
        </w:rPr>
      </w:pPr>
      <w:bookmarkStart w:id="22" w:name="nigeria-against-its-comparators"/>
      <w:bookmarkEnd w:id="21"/>
      <w:r w:rsidRPr="00E5229E">
        <w:rPr>
          <w:rFonts w:eastAsiaTheme="minorHAnsi"/>
          <w:color w:val="auto"/>
          <w:sz w:val="24"/>
          <w:szCs w:val="24"/>
          <w:lang w:val="en-US" w:eastAsia="en-US"/>
        </w:rPr>
        <w:t>Nigeria has adopted an assurance standard</w:t>
      </w:r>
      <w:r>
        <w:rPr>
          <w:rFonts w:eastAsiaTheme="minorHAnsi"/>
          <w:color w:val="auto"/>
          <w:sz w:val="24"/>
          <w:szCs w:val="24"/>
          <w:lang w:val="en-US" w:eastAsia="en-US"/>
        </w:rPr>
        <w:t xml:space="preserve">, and the </w:t>
      </w:r>
      <w:r w:rsidRPr="00E5229E">
        <w:rPr>
          <w:rFonts w:eastAsiaTheme="minorHAnsi"/>
          <w:color w:val="auto"/>
          <w:sz w:val="24"/>
          <w:szCs w:val="24"/>
          <w:lang w:val="en-US" w:eastAsia="en-US"/>
        </w:rPr>
        <w:t>Roadmap bases assurance on ISSA 5000, issued by the IAASB and effective from 15 December 2026, covering both limited and reasonable assurance (FRC Nigeria, 2026b, §10). Providers must be independent under the IESBA code (IESBA, 2025) and registered with the FRC. On the standard itself</w:t>
      </w:r>
      <w:r>
        <w:rPr>
          <w:rFonts w:eastAsiaTheme="minorHAnsi"/>
          <w:color w:val="auto"/>
          <w:sz w:val="24"/>
          <w:szCs w:val="24"/>
          <w:lang w:val="en-US" w:eastAsia="en-US"/>
        </w:rPr>
        <w:t>,</w:t>
      </w:r>
      <w:r w:rsidRPr="00E5229E">
        <w:rPr>
          <w:rFonts w:eastAsiaTheme="minorHAnsi"/>
          <w:color w:val="auto"/>
          <w:sz w:val="24"/>
          <w:szCs w:val="24"/>
          <w:lang w:val="en-US" w:eastAsia="en-US"/>
        </w:rPr>
        <w:t xml:space="preserve"> Nigeria is ahead of Kenya and level with South Africa, whose Independent Regulatory Board for Auditors has also adopted it.</w:t>
      </w:r>
    </w:p>
    <w:p w14:paraId="56EA6359" w14:textId="2727C852" w:rsidR="00E5229E" w:rsidRPr="00E5229E" w:rsidRDefault="00E5229E" w:rsidP="00BC7604">
      <w:pPr>
        <w:pStyle w:val="Heading2"/>
        <w:spacing w:before="180" w:after="180" w:line="360" w:lineRule="auto"/>
        <w:jc w:val="both"/>
        <w:rPr>
          <w:rFonts w:eastAsiaTheme="minorHAnsi"/>
          <w:color w:val="auto"/>
          <w:sz w:val="24"/>
          <w:szCs w:val="24"/>
          <w:lang w:val="en-US" w:eastAsia="en-US"/>
        </w:rPr>
      </w:pPr>
      <w:r w:rsidRPr="00E5229E">
        <w:rPr>
          <w:rFonts w:eastAsiaTheme="minorHAnsi"/>
          <w:color w:val="auto"/>
          <w:sz w:val="24"/>
          <w:szCs w:val="24"/>
          <w:lang w:val="en-US" w:eastAsia="en-US"/>
        </w:rPr>
        <w:t>The defect is in the timetable</w:t>
      </w:r>
      <w:r w:rsidR="004C2F22">
        <w:rPr>
          <w:rFonts w:eastAsiaTheme="minorHAnsi"/>
          <w:color w:val="auto"/>
          <w:sz w:val="24"/>
          <w:szCs w:val="24"/>
          <w:lang w:val="en-US" w:eastAsia="en-US"/>
        </w:rPr>
        <w:t>,</w:t>
      </w:r>
      <w:r w:rsidR="00F51D20">
        <w:rPr>
          <w:rFonts w:eastAsiaTheme="minorHAnsi"/>
          <w:color w:val="auto"/>
          <w:sz w:val="24"/>
          <w:szCs w:val="24"/>
          <w:lang w:val="en-US" w:eastAsia="en-US"/>
        </w:rPr>
        <w:t xml:space="preserve"> as l</w:t>
      </w:r>
      <w:r w:rsidRPr="00E5229E">
        <w:rPr>
          <w:rFonts w:eastAsiaTheme="minorHAnsi"/>
          <w:color w:val="auto"/>
          <w:sz w:val="24"/>
          <w:szCs w:val="24"/>
          <w:lang w:val="en-US" w:eastAsia="en-US"/>
        </w:rPr>
        <w:t xml:space="preserve">imited assurance in the fourth and fifth reporting years covers the IFRS S1 and S2 disclosures but excludes Scope 3 emissions, scenario analysis, and transition plans. Those </w:t>
      </w:r>
      <w:r w:rsidR="00F51D20">
        <w:rPr>
          <w:rFonts w:eastAsiaTheme="minorHAnsi"/>
          <w:color w:val="auto"/>
          <w:sz w:val="24"/>
          <w:szCs w:val="24"/>
          <w:lang w:val="en-US" w:eastAsia="en-US"/>
        </w:rPr>
        <w:t>3</w:t>
      </w:r>
      <w:r w:rsidRPr="00E5229E">
        <w:rPr>
          <w:rFonts w:eastAsiaTheme="minorHAnsi"/>
          <w:color w:val="auto"/>
          <w:sz w:val="24"/>
          <w:szCs w:val="24"/>
          <w:lang w:val="en-US" w:eastAsia="en-US"/>
        </w:rPr>
        <w:t xml:space="preserve"> enter limited assurance only in the sixth year, when reasonable assurance applies to everything else, and reasonable assurance on all disclosures arrives in the seventh (FRC Nigeria, 2026b, §10; FRC Nigeria, 2026c, item 14). For an entity entering the mandate in 2028, the sixth year is 2033</w:t>
      </w:r>
      <w:r w:rsidR="00F51D20">
        <w:rPr>
          <w:rFonts w:eastAsiaTheme="minorHAnsi"/>
          <w:color w:val="auto"/>
          <w:sz w:val="24"/>
          <w:szCs w:val="24"/>
          <w:lang w:val="en-US" w:eastAsia="en-US"/>
        </w:rPr>
        <w:t>,</w:t>
      </w:r>
      <w:r w:rsidRPr="00E5229E">
        <w:rPr>
          <w:rFonts w:eastAsiaTheme="minorHAnsi"/>
          <w:color w:val="auto"/>
          <w:sz w:val="24"/>
          <w:szCs w:val="24"/>
          <w:lang w:val="en-US" w:eastAsia="en-US"/>
        </w:rPr>
        <w:t xml:space="preserve"> and the seventh is 2034.</w:t>
      </w:r>
    </w:p>
    <w:p w14:paraId="7BF27EDF" w14:textId="3CF78401" w:rsidR="00E5229E" w:rsidRPr="00E5229E" w:rsidRDefault="00E5229E" w:rsidP="00BC7604">
      <w:pPr>
        <w:pStyle w:val="Heading2"/>
        <w:spacing w:before="180" w:after="180" w:line="360" w:lineRule="auto"/>
        <w:jc w:val="both"/>
        <w:rPr>
          <w:rFonts w:eastAsiaTheme="minorHAnsi"/>
          <w:color w:val="auto"/>
          <w:sz w:val="24"/>
          <w:szCs w:val="24"/>
          <w:lang w:val="en-US" w:eastAsia="en-US"/>
        </w:rPr>
      </w:pPr>
      <w:r w:rsidRPr="00E5229E">
        <w:rPr>
          <w:rFonts w:eastAsiaTheme="minorHAnsi"/>
          <w:color w:val="auto"/>
          <w:sz w:val="24"/>
          <w:szCs w:val="24"/>
          <w:lang w:val="en-US" w:eastAsia="en-US"/>
        </w:rPr>
        <w:t xml:space="preserve">The </w:t>
      </w:r>
      <w:r w:rsidR="009B6388">
        <w:rPr>
          <w:rFonts w:eastAsiaTheme="minorHAnsi"/>
          <w:color w:val="auto"/>
          <w:sz w:val="24"/>
          <w:szCs w:val="24"/>
          <w:lang w:val="en-US" w:eastAsia="en-US"/>
        </w:rPr>
        <w:t>three</w:t>
      </w:r>
      <w:r w:rsidRPr="00E5229E">
        <w:rPr>
          <w:rFonts w:eastAsiaTheme="minorHAnsi"/>
          <w:color w:val="auto"/>
          <w:sz w:val="24"/>
          <w:szCs w:val="24"/>
          <w:lang w:val="en-US" w:eastAsia="en-US"/>
        </w:rPr>
        <w:t xml:space="preserve"> disclosures held back longest are the hardest to prepare. Scope 3 emissions rest on value-chain estimates the entity does not control and, for banks, insurers, and asset managers, on Category 15 financed emissions across a whole lending and investment book. Scenario analysis rests on models whose assumptions the entity chooses</w:t>
      </w:r>
      <w:r w:rsidR="001E256C">
        <w:rPr>
          <w:rFonts w:eastAsiaTheme="minorHAnsi"/>
          <w:color w:val="auto"/>
          <w:sz w:val="24"/>
          <w:szCs w:val="24"/>
          <w:lang w:val="en-US" w:eastAsia="en-US"/>
        </w:rPr>
        <w:t>, and T</w:t>
      </w:r>
      <w:r w:rsidRPr="00E5229E">
        <w:rPr>
          <w:rFonts w:eastAsiaTheme="minorHAnsi"/>
          <w:color w:val="auto"/>
          <w:sz w:val="24"/>
          <w:szCs w:val="24"/>
          <w:lang w:val="en-US" w:eastAsia="en-US"/>
        </w:rPr>
        <w:t>ransition plans are forward-looking commitments with no verifiable baseline.</w:t>
      </w:r>
    </w:p>
    <w:p w14:paraId="363C7F63" w14:textId="04530A6E" w:rsidR="00E5229E" w:rsidRPr="00E5229E" w:rsidRDefault="00E5229E" w:rsidP="00BC7604">
      <w:pPr>
        <w:pStyle w:val="Heading2"/>
        <w:spacing w:before="180" w:after="180" w:line="360" w:lineRule="auto"/>
        <w:jc w:val="both"/>
        <w:rPr>
          <w:rFonts w:eastAsiaTheme="minorHAnsi"/>
          <w:color w:val="auto"/>
          <w:sz w:val="24"/>
          <w:szCs w:val="24"/>
          <w:lang w:val="en-US" w:eastAsia="en-US"/>
        </w:rPr>
      </w:pPr>
      <w:r w:rsidRPr="00E5229E">
        <w:rPr>
          <w:rFonts w:eastAsiaTheme="minorHAnsi"/>
          <w:color w:val="auto"/>
          <w:sz w:val="24"/>
          <w:szCs w:val="24"/>
          <w:lang w:val="en-US" w:eastAsia="en-US"/>
        </w:rPr>
        <w:t>The argument needs no ranking</w:t>
      </w:r>
      <w:r w:rsidR="00304FEF">
        <w:rPr>
          <w:rFonts w:eastAsiaTheme="minorHAnsi"/>
          <w:color w:val="auto"/>
          <w:sz w:val="24"/>
          <w:szCs w:val="24"/>
          <w:lang w:val="en-US" w:eastAsia="en-US"/>
        </w:rPr>
        <w:t>, as these</w:t>
      </w:r>
      <w:r w:rsidRPr="00E5229E">
        <w:rPr>
          <w:rFonts w:eastAsiaTheme="minorHAnsi"/>
          <w:color w:val="auto"/>
          <w:sz w:val="24"/>
          <w:szCs w:val="24"/>
          <w:lang w:val="en-US" w:eastAsia="en-US"/>
        </w:rPr>
        <w:t xml:space="preserve"> </w:t>
      </w:r>
      <w:r w:rsidR="009B6388">
        <w:rPr>
          <w:rFonts w:eastAsiaTheme="minorHAnsi"/>
          <w:color w:val="auto"/>
          <w:sz w:val="24"/>
          <w:szCs w:val="24"/>
          <w:lang w:val="en-US" w:eastAsia="en-US"/>
        </w:rPr>
        <w:t>three</w:t>
      </w:r>
      <w:r w:rsidRPr="00E5229E">
        <w:rPr>
          <w:rFonts w:eastAsiaTheme="minorHAnsi"/>
          <w:color w:val="auto"/>
          <w:sz w:val="24"/>
          <w:szCs w:val="24"/>
          <w:lang w:val="en-US" w:eastAsia="en-US"/>
        </w:rPr>
        <w:t xml:space="preserve"> disclosures are the most estimation-dependent, the most model-driven, and the least practised in the Nigerian market</w:t>
      </w:r>
      <w:r w:rsidR="009B6388">
        <w:rPr>
          <w:rFonts w:eastAsiaTheme="minorHAnsi"/>
          <w:color w:val="auto"/>
          <w:sz w:val="24"/>
          <w:szCs w:val="24"/>
          <w:lang w:val="en-US" w:eastAsia="en-US"/>
        </w:rPr>
        <w:t>; a framework that prioritises</w:t>
      </w:r>
      <w:r w:rsidRPr="00E5229E">
        <w:rPr>
          <w:rFonts w:eastAsiaTheme="minorHAnsi"/>
          <w:color w:val="auto"/>
          <w:sz w:val="24"/>
          <w:szCs w:val="24"/>
          <w:lang w:val="en-US" w:eastAsia="en-US"/>
        </w:rPr>
        <w:t xml:space="preserve"> the simplest disclosures first postpones verification exactly where independent scrutiny would add most.</w:t>
      </w:r>
    </w:p>
    <w:p w14:paraId="103A9D3A" w14:textId="60C586F1" w:rsidR="00E5229E" w:rsidRPr="00E5229E" w:rsidRDefault="00E5229E" w:rsidP="00BC7604">
      <w:pPr>
        <w:pStyle w:val="Heading2"/>
        <w:spacing w:before="180" w:after="180" w:line="360" w:lineRule="auto"/>
        <w:jc w:val="both"/>
        <w:rPr>
          <w:rFonts w:eastAsiaTheme="minorHAnsi"/>
          <w:color w:val="auto"/>
          <w:sz w:val="24"/>
          <w:szCs w:val="24"/>
          <w:lang w:val="en-US" w:eastAsia="en-US"/>
        </w:rPr>
      </w:pPr>
      <w:r w:rsidRPr="00E5229E">
        <w:rPr>
          <w:rFonts w:eastAsiaTheme="minorHAnsi"/>
          <w:color w:val="auto"/>
          <w:sz w:val="24"/>
          <w:szCs w:val="24"/>
          <w:lang w:val="en-US" w:eastAsia="en-US"/>
        </w:rPr>
        <w:t>Two inconsistencies remain</w:t>
      </w:r>
      <w:r w:rsidR="00304FEF">
        <w:rPr>
          <w:rFonts w:eastAsiaTheme="minorHAnsi"/>
          <w:color w:val="auto"/>
          <w:sz w:val="24"/>
          <w:szCs w:val="24"/>
          <w:lang w:val="en-US" w:eastAsia="en-US"/>
        </w:rPr>
        <w:t>, however</w:t>
      </w:r>
      <w:r w:rsidR="00D41A9B">
        <w:rPr>
          <w:rFonts w:eastAsiaTheme="minorHAnsi"/>
          <w:color w:val="auto"/>
          <w:sz w:val="24"/>
          <w:szCs w:val="24"/>
          <w:lang w:val="en-US" w:eastAsia="en-US"/>
        </w:rPr>
        <w:t>: t</w:t>
      </w:r>
      <w:r w:rsidRPr="00E5229E">
        <w:rPr>
          <w:rFonts w:eastAsiaTheme="minorHAnsi"/>
          <w:color w:val="auto"/>
          <w:sz w:val="24"/>
          <w:szCs w:val="24"/>
          <w:lang w:val="en-US" w:eastAsia="en-US"/>
        </w:rPr>
        <w:t xml:space="preserve">he Roadmap says assurance is required from the third reporting year, while the table beneath it starts at the fourth; the FRC should say which is correct. And although ISSA 5000 is adopted, the Roadmap has providers holding qualifications </w:t>
      </w:r>
      <w:r w:rsidR="00304FEF">
        <w:rPr>
          <w:rFonts w:eastAsiaTheme="minorHAnsi"/>
          <w:color w:val="auto"/>
          <w:sz w:val="24"/>
          <w:szCs w:val="24"/>
          <w:lang w:val="en-US" w:eastAsia="en-US"/>
        </w:rPr>
        <w:t>“</w:t>
      </w:r>
      <w:r w:rsidRPr="00E5229E">
        <w:rPr>
          <w:rFonts w:eastAsiaTheme="minorHAnsi"/>
          <w:color w:val="auto"/>
          <w:sz w:val="24"/>
          <w:szCs w:val="24"/>
          <w:lang w:val="en-US" w:eastAsia="en-US"/>
        </w:rPr>
        <w:t>as may be required by the FRC,</w:t>
      </w:r>
      <w:r w:rsidR="00304FEF">
        <w:rPr>
          <w:rFonts w:eastAsiaTheme="minorHAnsi"/>
          <w:color w:val="auto"/>
          <w:sz w:val="24"/>
          <w:szCs w:val="24"/>
          <w:lang w:val="en-US" w:eastAsia="en-US"/>
        </w:rPr>
        <w:t>”</w:t>
      </w:r>
      <w:r w:rsidRPr="00E5229E">
        <w:rPr>
          <w:rFonts w:eastAsiaTheme="minorHAnsi"/>
          <w:color w:val="auto"/>
          <w:sz w:val="24"/>
          <w:szCs w:val="24"/>
          <w:lang w:val="en-US" w:eastAsia="en-US"/>
        </w:rPr>
        <w:t xml:space="preserve"> so the standard is set but the licensing regime for those who apply it is not.</w:t>
      </w:r>
    </w:p>
    <w:p w14:paraId="68DDC8D1" w14:textId="236E7792" w:rsidR="00304FEF" w:rsidRDefault="00E5229E" w:rsidP="00BC7604">
      <w:pPr>
        <w:pStyle w:val="Heading2"/>
        <w:spacing w:before="180" w:after="180" w:line="360" w:lineRule="auto"/>
        <w:jc w:val="both"/>
        <w:rPr>
          <w:rFonts w:eastAsiaTheme="minorHAnsi"/>
          <w:color w:val="auto"/>
          <w:sz w:val="24"/>
          <w:szCs w:val="24"/>
          <w:lang w:val="en-US" w:eastAsia="en-US"/>
        </w:rPr>
      </w:pPr>
      <w:r w:rsidRPr="00E5229E">
        <w:rPr>
          <w:rFonts w:eastAsiaTheme="minorHAnsi"/>
          <w:color w:val="auto"/>
          <w:sz w:val="24"/>
          <w:szCs w:val="24"/>
          <w:lang w:val="en-US" w:eastAsia="en-US"/>
        </w:rPr>
        <w:t xml:space="preserve">Nigeria has the standard </w:t>
      </w:r>
      <w:r w:rsidR="00D41A9B">
        <w:rPr>
          <w:rFonts w:eastAsiaTheme="minorHAnsi"/>
          <w:color w:val="auto"/>
          <w:sz w:val="24"/>
          <w:szCs w:val="24"/>
          <w:lang w:val="en-US" w:eastAsia="en-US"/>
        </w:rPr>
        <w:t>but</w:t>
      </w:r>
      <w:r w:rsidRPr="00E5229E">
        <w:rPr>
          <w:rFonts w:eastAsiaTheme="minorHAnsi"/>
          <w:color w:val="auto"/>
          <w:sz w:val="24"/>
          <w:szCs w:val="24"/>
          <w:lang w:val="en-US" w:eastAsia="en-US"/>
        </w:rPr>
        <w:t xml:space="preserve"> not the market</w:t>
      </w:r>
      <w:r w:rsidR="00D41A9B">
        <w:rPr>
          <w:rFonts w:eastAsiaTheme="minorHAnsi"/>
          <w:color w:val="auto"/>
          <w:sz w:val="24"/>
          <w:szCs w:val="24"/>
          <w:lang w:val="en-US" w:eastAsia="en-US"/>
        </w:rPr>
        <w:t xml:space="preserve"> yet</w:t>
      </w:r>
      <w:r w:rsidRPr="00E5229E">
        <w:rPr>
          <w:rFonts w:eastAsiaTheme="minorHAnsi"/>
          <w:color w:val="auto"/>
          <w:sz w:val="24"/>
          <w:szCs w:val="24"/>
          <w:lang w:val="en-US" w:eastAsia="en-US"/>
        </w:rPr>
        <w:t>. The window to build one runs from ISSA 5000's effective date in December 2026 to the mandate in January 2028, roughly thirteen months.</w:t>
      </w:r>
    </w:p>
    <w:p w14:paraId="19D88012" w14:textId="63FFBB0B" w:rsidR="00AA148B" w:rsidRPr="00BC2D50" w:rsidRDefault="00AA148B" w:rsidP="00BC7604">
      <w:pPr>
        <w:pStyle w:val="Heading2"/>
        <w:spacing w:before="180" w:after="180" w:line="360" w:lineRule="auto"/>
        <w:jc w:val="both"/>
        <w:rPr>
          <w:b/>
          <w:bCs/>
          <w:color w:val="auto"/>
          <w:sz w:val="28"/>
          <w:szCs w:val="28"/>
        </w:rPr>
      </w:pPr>
      <w:r w:rsidRPr="00BC2D50">
        <w:rPr>
          <w:b/>
          <w:bCs/>
          <w:color w:val="auto"/>
          <w:sz w:val="28"/>
          <w:szCs w:val="28"/>
        </w:rPr>
        <w:lastRenderedPageBreak/>
        <w:t>1</w:t>
      </w:r>
      <w:r w:rsidR="00BC2D50" w:rsidRPr="00BC2D50">
        <w:rPr>
          <w:b/>
          <w:bCs/>
          <w:color w:val="auto"/>
          <w:sz w:val="28"/>
          <w:szCs w:val="28"/>
        </w:rPr>
        <w:t>0</w:t>
      </w:r>
      <w:r w:rsidRPr="00BC2D50">
        <w:rPr>
          <w:b/>
          <w:bCs/>
          <w:color w:val="auto"/>
          <w:sz w:val="28"/>
          <w:szCs w:val="28"/>
        </w:rPr>
        <w:t>. Nigeria Against Its Comparators</w:t>
      </w:r>
    </w:p>
    <w:p w14:paraId="21B5DFF3" w14:textId="2F812940" w:rsidR="00AA148B" w:rsidRPr="00640D42" w:rsidRDefault="00AA148B"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Nigeria’s position is customarily described in terms of primacy</w:t>
      </w:r>
      <w:r w:rsidR="000503AA" w:rsidRPr="00640D42">
        <w:rPr>
          <w:rFonts w:ascii="Times New Roman" w:hAnsi="Times New Roman" w:cs="Times New Roman"/>
        </w:rPr>
        <w:t xml:space="preserve"> and s</w:t>
      </w:r>
      <w:r w:rsidRPr="00640D42">
        <w:rPr>
          <w:rFonts w:ascii="Times New Roman" w:hAnsi="Times New Roman" w:cs="Times New Roman"/>
        </w:rPr>
        <w:t>et against its two closest comparators</w:t>
      </w:r>
      <w:r w:rsidR="000503AA" w:rsidRPr="00640D42">
        <w:rPr>
          <w:rFonts w:ascii="Times New Roman" w:hAnsi="Times New Roman" w:cs="Times New Roman"/>
        </w:rPr>
        <w:t>;</w:t>
      </w:r>
      <w:r w:rsidR="00CC04CB">
        <w:rPr>
          <w:rFonts w:ascii="Times New Roman" w:hAnsi="Times New Roman" w:cs="Times New Roman"/>
        </w:rPr>
        <w:t xml:space="preserve"> but</w:t>
      </w:r>
      <w:r w:rsidRPr="00640D42">
        <w:rPr>
          <w:rFonts w:ascii="Times New Roman" w:hAnsi="Times New Roman" w:cs="Times New Roman"/>
        </w:rPr>
        <w:t xml:space="preserve"> the primacy is narrower than it appears.</w:t>
      </w:r>
    </w:p>
    <w:p w14:paraId="595D2399" w14:textId="49EE6C69"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Kenya announced later and will report sooner.</w:t>
      </w:r>
      <w:r w:rsidRPr="00640D42">
        <w:rPr>
          <w:rFonts w:ascii="Times New Roman" w:hAnsi="Times New Roman" w:cs="Times New Roman"/>
        </w:rPr>
        <w:t xml:space="preserve"> </w:t>
      </w:r>
      <w:r w:rsidR="005F1C97" w:rsidRPr="005F1C97">
        <w:rPr>
          <w:rFonts w:ascii="Times New Roman" w:hAnsi="Times New Roman" w:cs="Times New Roman"/>
        </w:rPr>
        <w:t xml:space="preserve">The Institute of Certified Public Accountants of Kenya issued its roadmap in September 2023, ten months after Nigeria's declaration, opening voluntary adoption from January 2024 and making it mandatory for Public Interest Entities from </w:t>
      </w:r>
      <w:r w:rsidR="005F1C97" w:rsidRPr="005F1C97">
        <w:rPr>
          <w:rFonts w:ascii="Times New Roman" w:hAnsi="Times New Roman" w:cs="Times New Roman"/>
          <w:b/>
          <w:bCs/>
        </w:rPr>
        <w:t>1 January 2027</w:t>
      </w:r>
      <w:r w:rsidR="005F1C97" w:rsidRPr="005F1C97">
        <w:rPr>
          <w:rFonts w:ascii="Times New Roman" w:hAnsi="Times New Roman" w:cs="Times New Roman"/>
        </w:rPr>
        <w:t>, a full year ahead of Nigeria, with large non-PIEs following in 2028 and SMEs in 2029 (ICPAK, 2023). Like Nigeria, Kenya requires a readiness assessment before the first disclosure, so the two countries have settled on the same diagnostic device while pulling apart on the deadline it is meant to serve</w:t>
      </w:r>
      <w:r w:rsidR="00FA08D1" w:rsidRPr="00640D42">
        <w:rPr>
          <w:rFonts w:ascii="Times New Roman" w:hAnsi="Times New Roman" w:cs="Times New Roman"/>
        </w:rPr>
        <w:t>.</w:t>
      </w:r>
    </w:p>
    <w:p w14:paraId="7D349C78" w14:textId="77777777" w:rsidR="00E63734" w:rsidRPr="00E63734" w:rsidRDefault="00E63734" w:rsidP="00E63734">
      <w:pPr>
        <w:pStyle w:val="BodyText"/>
        <w:spacing w:line="360" w:lineRule="auto"/>
        <w:jc w:val="both"/>
        <w:rPr>
          <w:rFonts w:ascii="Times New Roman" w:hAnsi="Times New Roman" w:cs="Times New Roman"/>
        </w:rPr>
      </w:pPr>
      <w:r w:rsidRPr="00E63734">
        <w:rPr>
          <w:rFonts w:ascii="Times New Roman" w:hAnsi="Times New Roman" w:cs="Times New Roman"/>
        </w:rPr>
        <w:t>Why Kenya moved faster despite announcing later is not something the record explains, and we would rather not guess at it, though a narrower population of Public Interest Entities, a professional body driving the process instead of a statutory regulator, or a lighter readiness assessment would each be enough to account for it. What can be said with confidence is that Nigeria left itself the longer run-up between announcement and mandate, and that the additional time has gone by without settling any of the four questions raised here.</w:t>
      </w:r>
    </w:p>
    <w:p w14:paraId="645D802F" w14:textId="118A5553" w:rsidR="00697612" w:rsidRPr="00640D42" w:rsidRDefault="00E63734" w:rsidP="00E63734">
      <w:pPr>
        <w:pStyle w:val="BodyText"/>
        <w:spacing w:line="360" w:lineRule="auto"/>
        <w:jc w:val="both"/>
        <w:rPr>
          <w:rFonts w:ascii="Times New Roman" w:hAnsi="Times New Roman" w:cs="Times New Roman"/>
        </w:rPr>
      </w:pPr>
      <w:r w:rsidRPr="00E63734">
        <w:rPr>
          <w:rFonts w:ascii="Times New Roman" w:hAnsi="Times New Roman" w:cs="Times New Roman"/>
          <w:b/>
          <w:bCs/>
        </w:rPr>
        <w:t>South Africa is the mirror image</w:t>
      </w:r>
      <w:r w:rsidRPr="00E63734">
        <w:rPr>
          <w:rFonts w:ascii="Times New Roman" w:hAnsi="Times New Roman" w:cs="Times New Roman"/>
        </w:rPr>
        <w:t xml:space="preserve">. Disclosure under the Johannesburg Stock Exchange's Sustainability Disclosure Guidance, issued in June 2022, is voluntary and carries no deadline (Johannesburg Stock Exchange, 2022), and sustainability oversight runs through the sixteen principles of King IV on an </w:t>
      </w:r>
      <w:r w:rsidR="00565560">
        <w:rPr>
          <w:rFonts w:ascii="Times New Roman" w:hAnsi="Times New Roman" w:cs="Times New Roman"/>
        </w:rPr>
        <w:t>“</w:t>
      </w:r>
      <w:r w:rsidRPr="00E63734">
        <w:rPr>
          <w:rFonts w:ascii="Times New Roman" w:hAnsi="Times New Roman" w:cs="Times New Roman"/>
        </w:rPr>
        <w:t>apply and explain</w:t>
      </w:r>
      <w:r w:rsidR="00565560">
        <w:rPr>
          <w:rFonts w:ascii="Times New Roman" w:hAnsi="Times New Roman" w:cs="Times New Roman"/>
        </w:rPr>
        <w:t>”</w:t>
      </w:r>
      <w:r w:rsidRPr="00E63734">
        <w:rPr>
          <w:rFonts w:ascii="Times New Roman" w:hAnsi="Times New Roman" w:cs="Times New Roman"/>
        </w:rPr>
        <w:t xml:space="preserve"> basis rather than a compliance timetable (Institute of Directors in Southern Africa, 2016). Even so, the Independent Regulatory Board for Auditors has adopted ISSA 5000, and the JSE already asks issuers to name the board committee that oversees sustainability, the very question Nigeria leaves </w:t>
      </w:r>
      <w:r w:rsidR="00565560" w:rsidRPr="00E63734">
        <w:rPr>
          <w:rFonts w:ascii="Times New Roman" w:hAnsi="Times New Roman" w:cs="Times New Roman"/>
        </w:rPr>
        <w:t>open.</w:t>
      </w:r>
    </w:p>
    <w:p w14:paraId="33B649B1" w14:textId="762051D9" w:rsidR="00090475" w:rsidRDefault="00090475" w:rsidP="00090475">
      <w:pPr>
        <w:pStyle w:val="Heading2"/>
        <w:spacing w:before="180" w:after="180" w:line="360" w:lineRule="auto"/>
        <w:jc w:val="both"/>
        <w:rPr>
          <w:rFonts w:eastAsiaTheme="minorHAnsi"/>
          <w:color w:val="auto"/>
          <w:sz w:val="24"/>
          <w:szCs w:val="24"/>
          <w:lang w:val="en-US" w:eastAsia="en-US"/>
        </w:rPr>
      </w:pPr>
      <w:bookmarkStart w:id="23" w:name="recommendations"/>
      <w:bookmarkEnd w:id="22"/>
      <w:r w:rsidRPr="00090475">
        <w:rPr>
          <w:rFonts w:eastAsiaTheme="minorHAnsi"/>
          <w:color w:val="auto"/>
          <w:sz w:val="24"/>
          <w:szCs w:val="24"/>
          <w:lang w:val="en-US" w:eastAsia="en-US"/>
        </w:rPr>
        <w:t xml:space="preserve">Nigeria led on the announcement, yet Kenya will report a year sooner, and South Africa, with no mandate at all, has answered the governance question this paper treats as decisive. Some of that clarity is structural, since a single-committee system leaves South Africa with a far simpler allocation to make than Nigeria faces with two. The principle survives the difference all the same: a regulator bringing in disclosures that are financially material and bound for assurance ought to name the body that oversees them, whether the choice lies between one candidate or two. Nigeria's claim to African leadership on ISSB adoption holds </w:t>
      </w:r>
      <w:r w:rsidRPr="00090475">
        <w:rPr>
          <w:rFonts w:eastAsiaTheme="minorHAnsi"/>
          <w:color w:val="auto"/>
          <w:sz w:val="24"/>
          <w:szCs w:val="24"/>
          <w:lang w:val="en-US" w:eastAsia="en-US"/>
        </w:rPr>
        <w:lastRenderedPageBreak/>
        <w:t xml:space="preserve">for the announcement and, for now, nothing more. Whether it comes to mean anything further </w:t>
      </w:r>
      <w:r w:rsidR="00EA43D3">
        <w:rPr>
          <w:rFonts w:eastAsiaTheme="minorHAnsi"/>
          <w:color w:val="auto"/>
          <w:sz w:val="24"/>
          <w:szCs w:val="24"/>
          <w:lang w:val="en-US" w:eastAsia="en-US"/>
        </w:rPr>
        <w:t>will depend</w:t>
      </w:r>
      <w:r w:rsidRPr="00090475">
        <w:rPr>
          <w:rFonts w:eastAsiaTheme="minorHAnsi"/>
          <w:color w:val="auto"/>
          <w:sz w:val="24"/>
          <w:szCs w:val="24"/>
          <w:lang w:val="en-US" w:eastAsia="en-US"/>
        </w:rPr>
        <w:t xml:space="preserve"> on decisions the FRC has not yet taken.</w:t>
      </w:r>
    </w:p>
    <w:p w14:paraId="78ED2B76" w14:textId="20637287" w:rsidR="00AA148B" w:rsidRPr="00BC2D50" w:rsidRDefault="00AA148B" w:rsidP="00090475">
      <w:pPr>
        <w:pStyle w:val="Heading2"/>
        <w:spacing w:line="360" w:lineRule="auto"/>
        <w:jc w:val="both"/>
        <w:rPr>
          <w:b/>
          <w:bCs/>
          <w:color w:val="auto"/>
          <w:sz w:val="28"/>
          <w:szCs w:val="28"/>
        </w:rPr>
      </w:pPr>
      <w:r w:rsidRPr="00BC2D50">
        <w:rPr>
          <w:b/>
          <w:bCs/>
          <w:color w:val="auto"/>
          <w:sz w:val="28"/>
          <w:szCs w:val="28"/>
        </w:rPr>
        <w:t>1</w:t>
      </w:r>
      <w:r w:rsidR="0056770C">
        <w:rPr>
          <w:b/>
          <w:bCs/>
          <w:color w:val="auto"/>
          <w:sz w:val="28"/>
          <w:szCs w:val="28"/>
        </w:rPr>
        <w:t>1</w:t>
      </w:r>
      <w:r w:rsidRPr="00BC2D50">
        <w:rPr>
          <w:b/>
          <w:bCs/>
          <w:color w:val="auto"/>
          <w:sz w:val="28"/>
          <w:szCs w:val="28"/>
        </w:rPr>
        <w:t>. Recommendations</w:t>
      </w:r>
    </w:p>
    <w:p w14:paraId="063C57ED" w14:textId="347D06D1" w:rsidR="007B0CDF" w:rsidRPr="0067403F" w:rsidRDefault="00AA148B" w:rsidP="007B0CDF">
      <w:pPr>
        <w:pStyle w:val="FirstParagraph"/>
        <w:spacing w:line="360" w:lineRule="auto"/>
        <w:jc w:val="both"/>
        <w:rPr>
          <w:rFonts w:ascii="Times New Roman" w:hAnsi="Times New Roman" w:cs="Times New Roman"/>
        </w:rPr>
      </w:pPr>
      <w:r w:rsidRPr="00640D42">
        <w:rPr>
          <w:rFonts w:ascii="Times New Roman" w:hAnsi="Times New Roman" w:cs="Times New Roman"/>
          <w:b/>
          <w:bCs/>
        </w:rPr>
        <w:t xml:space="preserve">i. </w:t>
      </w:r>
      <w:r w:rsidR="00FA08D1" w:rsidRPr="00640D42">
        <w:rPr>
          <w:rFonts w:ascii="Times New Roman" w:hAnsi="Times New Roman" w:cs="Times New Roman"/>
          <w:b/>
          <w:bCs/>
        </w:rPr>
        <w:t>Specify the governance body in an amendment to SRG1, rather than in guidance.</w:t>
      </w:r>
      <w:r w:rsidR="007B0CDF">
        <w:rPr>
          <w:rFonts w:ascii="Times New Roman" w:hAnsi="Times New Roman" w:cs="Times New Roman"/>
        </w:rPr>
        <w:t xml:space="preserve"> </w:t>
      </w:r>
      <w:r w:rsidR="007B0CDF" w:rsidRPr="007B0CDF">
        <w:rPr>
          <w:rFonts w:ascii="Times New Roman" w:hAnsi="Times New Roman" w:cs="Times New Roman"/>
          <w:lang w:val="en-GB"/>
        </w:rPr>
        <w:t>Three readings are legally available, and Section 7.8 sets them out</w:t>
      </w:r>
      <w:r w:rsidR="00CE1863">
        <w:rPr>
          <w:rFonts w:ascii="Times New Roman" w:hAnsi="Times New Roman" w:cs="Times New Roman"/>
          <w:lang w:val="en-GB"/>
        </w:rPr>
        <w:t>, but n</w:t>
      </w:r>
      <w:r w:rsidR="007B0CDF" w:rsidRPr="007B0CDF">
        <w:rPr>
          <w:rFonts w:ascii="Times New Roman" w:hAnsi="Times New Roman" w:cs="Times New Roman"/>
          <w:lang w:val="en-GB"/>
        </w:rPr>
        <w:t xml:space="preserve">either committee is the obvious answer on its own. The statutory committee carries the stronger competence requirement, mandated by statute and tied to a professional credential, and it reports directly to the general meeting, but its membership is fixed at five and cannot be widened to bring in sustainability expertise. The board Audit Committee can be enlarged and its mandate rewritten by the board, but its competence floor is only a code recommendation rather than a statutory duty, and it shuts out the shareholder-elected members altogether. What matters more than which body the FRC picks is that it picks one, in the open, on reasons it is willing to state, and admits that a choice was there to be made. </w:t>
      </w:r>
      <w:r w:rsidR="007B0CDF" w:rsidRPr="0067403F">
        <w:rPr>
          <w:rFonts w:ascii="Times New Roman" w:hAnsi="Times New Roman" w:cs="Times New Roman"/>
          <w:lang w:val="en-GB"/>
        </w:rPr>
        <w:t xml:space="preserve">Our own recommendation is Reading C: assign oversight to both committees, with a defined division of responsibility and a liaison channel between them, which keeps the statutory design intact while letting sustainability competence be recruited onto the board committee. </w:t>
      </w:r>
    </w:p>
    <w:p w14:paraId="210E3258" w14:textId="4A6348F7" w:rsidR="00AA148B" w:rsidRPr="00640D42" w:rsidRDefault="00AA148B" w:rsidP="007B0CDF">
      <w:pPr>
        <w:pStyle w:val="FirstParagraph"/>
        <w:spacing w:line="360" w:lineRule="auto"/>
        <w:jc w:val="both"/>
        <w:rPr>
          <w:rFonts w:ascii="Times New Roman" w:hAnsi="Times New Roman" w:cs="Times New Roman"/>
        </w:rPr>
      </w:pPr>
      <w:r w:rsidRPr="00640D42">
        <w:rPr>
          <w:rFonts w:ascii="Times New Roman" w:hAnsi="Times New Roman" w:cs="Times New Roman"/>
          <w:b/>
          <w:bCs/>
        </w:rPr>
        <w:t>ii. Companies need not wait.</w:t>
      </w:r>
      <w:r w:rsidRPr="00640D42">
        <w:rPr>
          <w:rFonts w:ascii="Times New Roman" w:hAnsi="Times New Roman" w:cs="Times New Roman"/>
        </w:rPr>
        <w:t xml:space="preserve"> </w:t>
      </w:r>
      <w:r w:rsidR="0067403F" w:rsidRPr="0067403F">
        <w:rPr>
          <w:rFonts w:ascii="Times New Roman" w:hAnsi="Times New Roman" w:cs="Times New Roman"/>
          <w:lang w:val="en-GB"/>
        </w:rPr>
        <w:t>Section 404(7) of CAMA lets a company's articles confer additional functions and powers on the statutory audit committee, so a public company that wants its shareholder-elected body to hold sustainability oversight can arrange it by special resolution today, without legislation and without an instruction from the FRC. Boards, company secretaries, and institutional shareholders should be told that the route is already open</w:t>
      </w:r>
      <w:r w:rsidR="00FA08D1" w:rsidRPr="00640D42">
        <w:rPr>
          <w:rFonts w:ascii="Times New Roman" w:hAnsi="Times New Roman" w:cs="Times New Roman"/>
        </w:rPr>
        <w:t>.</w:t>
      </w:r>
    </w:p>
    <w:p w14:paraId="38AE1337" w14:textId="7AB5607D"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 xml:space="preserve">iii. </w:t>
      </w:r>
      <w:r w:rsidR="004570B0">
        <w:rPr>
          <w:rFonts w:ascii="Times New Roman" w:hAnsi="Times New Roman" w:cs="Times New Roman"/>
          <w:b/>
          <w:bCs/>
        </w:rPr>
        <w:t xml:space="preserve">Say who receives </w:t>
      </w:r>
      <w:r w:rsidR="00FA08D1" w:rsidRPr="00640D42">
        <w:rPr>
          <w:rFonts w:ascii="Times New Roman" w:hAnsi="Times New Roman" w:cs="Times New Roman"/>
          <w:b/>
          <w:bCs/>
        </w:rPr>
        <w:t>the sustainability assurance report:</w:t>
      </w:r>
      <w:r w:rsidRPr="00640D42">
        <w:rPr>
          <w:rFonts w:ascii="Times New Roman" w:hAnsi="Times New Roman" w:cs="Times New Roman"/>
        </w:rPr>
        <w:t xml:space="preserve"> </w:t>
      </w:r>
      <w:r w:rsidR="004570B0" w:rsidRPr="004570B0">
        <w:rPr>
          <w:rFonts w:ascii="Times New Roman" w:hAnsi="Times New Roman" w:cs="Times New Roman"/>
          <w:lang w:val="en-GB"/>
        </w:rPr>
        <w:t>CAMA s. 404(2) makes the audit committee the addressee of the external auditor's report, yet no instrument names a recipient for the ISSA 5000 assurance report. Assurance delivered to management, on disclosures that management itself signed, reaches no governance body at all</w:t>
      </w:r>
      <w:r w:rsidR="00FA08D1" w:rsidRPr="00640D42">
        <w:rPr>
          <w:rFonts w:ascii="Times New Roman" w:hAnsi="Times New Roman" w:cs="Times New Roman"/>
        </w:rPr>
        <w:t>.</w:t>
      </w:r>
    </w:p>
    <w:p w14:paraId="0923F622" w14:textId="0A8A45B1"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 xml:space="preserve">iv. Reconsider item 15 of </w:t>
      </w:r>
      <w:r w:rsidR="00CA0958" w:rsidRPr="00640D42">
        <w:rPr>
          <w:rFonts w:ascii="Times New Roman" w:hAnsi="Times New Roman" w:cs="Times New Roman"/>
          <w:b/>
          <w:bCs/>
        </w:rPr>
        <w:t>SRG</w:t>
      </w:r>
      <w:r w:rsidRPr="00640D42">
        <w:rPr>
          <w:rFonts w:ascii="Times New Roman" w:hAnsi="Times New Roman" w:cs="Times New Roman"/>
          <w:b/>
          <w:bCs/>
        </w:rPr>
        <w:t>1.</w:t>
      </w:r>
      <w:r w:rsidRPr="00640D42">
        <w:rPr>
          <w:rFonts w:ascii="Times New Roman" w:hAnsi="Times New Roman" w:cs="Times New Roman"/>
        </w:rPr>
        <w:t xml:space="preserve"> </w:t>
      </w:r>
      <w:r w:rsidR="004F3F32" w:rsidRPr="004F3F32">
        <w:rPr>
          <w:rFonts w:ascii="Times New Roman" w:hAnsi="Times New Roman" w:cs="Times New Roman"/>
          <w:lang w:val="en-GB"/>
        </w:rPr>
        <w:t>A disclosure that sits between the Directors' Report and the audited financial statements, that is investor-facing and financially material, and that will in time carry reasonable assurance, should not rest on the signature of a manager alone. The signature should carry board or committee authority to match the document's place in the annual report and the weight it now bears</w:t>
      </w:r>
      <w:r w:rsidRPr="00640D42">
        <w:rPr>
          <w:rFonts w:ascii="Times New Roman" w:hAnsi="Times New Roman" w:cs="Times New Roman"/>
        </w:rPr>
        <w:t>.</w:t>
      </w:r>
    </w:p>
    <w:p w14:paraId="43A61EF6" w14:textId="579D2BE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lastRenderedPageBreak/>
        <w:t>v. Require issuers to disclose which committee holds sustainability oversight and how the responsibility is recorded in its terms of reference</w:t>
      </w:r>
      <w:r w:rsidRPr="00640D42">
        <w:rPr>
          <w:rFonts w:ascii="Times New Roman" w:hAnsi="Times New Roman" w:cs="Times New Roman"/>
        </w:rPr>
        <w:t xml:space="preserve">, </w:t>
      </w:r>
      <w:r w:rsidR="003D23FB" w:rsidRPr="003D23FB">
        <w:rPr>
          <w:rFonts w:ascii="Times New Roman" w:hAnsi="Times New Roman" w:cs="Times New Roman"/>
          <w:lang w:val="en-GB"/>
        </w:rPr>
        <w:t>as the JSE has done since 2022. IFRS S1 already requires this in substance, so writing it into SRG 1 turns a latent compliance risk into a plain instruction that firms can follow</w:t>
      </w:r>
      <w:r w:rsidR="00FA08D1" w:rsidRPr="00640D42">
        <w:rPr>
          <w:rFonts w:ascii="Times New Roman" w:hAnsi="Times New Roman" w:cs="Times New Roman"/>
        </w:rPr>
        <w:t>.</w:t>
      </w:r>
    </w:p>
    <w:p w14:paraId="56FEAE70" w14:textId="498A0F29"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 xml:space="preserve">vi. </w:t>
      </w:r>
      <w:r w:rsidR="00AA7477">
        <w:rPr>
          <w:rFonts w:ascii="Times New Roman" w:hAnsi="Times New Roman" w:cs="Times New Roman"/>
          <w:b/>
          <w:bCs/>
        </w:rPr>
        <w:t>Build</w:t>
      </w:r>
      <w:r w:rsidRPr="00640D42">
        <w:rPr>
          <w:rFonts w:ascii="Times New Roman" w:hAnsi="Times New Roman" w:cs="Times New Roman"/>
          <w:b/>
          <w:bCs/>
        </w:rPr>
        <w:t xml:space="preserve"> a liaison mechanism between the two committees.</w:t>
      </w:r>
      <w:r w:rsidRPr="00640D42">
        <w:rPr>
          <w:rFonts w:ascii="Times New Roman" w:hAnsi="Times New Roman" w:cs="Times New Roman"/>
        </w:rPr>
        <w:t xml:space="preserve"> </w:t>
      </w:r>
      <w:r w:rsidR="00AA7477" w:rsidRPr="00AA7477">
        <w:rPr>
          <w:rFonts w:ascii="Times New Roman" w:hAnsi="Times New Roman" w:cs="Times New Roman"/>
          <w:lang w:val="en-GB"/>
        </w:rPr>
        <w:t>The statutory committee keeps its oversight of financial reporting integrity, and because IFRS S1's connectivity requirements mean the sustainability and financial disclosures have to be consistent and published together, two committees holding adjoining mandates with no channel between them is a control weakness waiting to show itself</w:t>
      </w:r>
      <w:r w:rsidRPr="00640D42">
        <w:rPr>
          <w:rFonts w:ascii="Times New Roman" w:hAnsi="Times New Roman" w:cs="Times New Roman"/>
        </w:rPr>
        <w:t>.</w:t>
      </w:r>
    </w:p>
    <w:p w14:paraId="0376EE2F" w14:textId="6D52E898"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vii. Append a validated readiness measure to the Readiness Test Assessment.</w:t>
      </w:r>
      <w:r w:rsidRPr="00640D42">
        <w:rPr>
          <w:rFonts w:ascii="Times New Roman" w:hAnsi="Times New Roman" w:cs="Times New Roman"/>
        </w:rPr>
        <w:t xml:space="preserve"> </w:t>
      </w:r>
      <w:r w:rsidR="00CC7FEB" w:rsidRPr="00CC7FEB">
        <w:rPr>
          <w:rFonts w:ascii="Times New Roman" w:hAnsi="Times New Roman" w:cs="Times New Roman"/>
          <w:lang w:val="en-GB"/>
        </w:rPr>
        <w:t xml:space="preserve">The twelve-item ORIC scale (Shea et al., 2014), given to the board, the audit committee, and the preparers, would give the instrument a measure of the very construct its name promises </w:t>
      </w:r>
      <w:r w:rsidR="00B20D8C">
        <w:rPr>
          <w:rFonts w:ascii="Times New Roman" w:hAnsi="Times New Roman" w:cs="Times New Roman"/>
          <w:lang w:val="en-GB"/>
        </w:rPr>
        <w:t xml:space="preserve">but </w:t>
      </w:r>
      <w:r w:rsidR="00CC7FEB" w:rsidRPr="00CC7FEB">
        <w:rPr>
          <w:rFonts w:ascii="Times New Roman" w:hAnsi="Times New Roman" w:cs="Times New Roman"/>
          <w:lang w:val="en-GB"/>
        </w:rPr>
        <w:t>currently omits</w:t>
      </w:r>
      <w:r w:rsidRPr="00640D42">
        <w:rPr>
          <w:rFonts w:ascii="Times New Roman" w:hAnsi="Times New Roman" w:cs="Times New Roman"/>
        </w:rPr>
        <w:t>.</w:t>
      </w:r>
    </w:p>
    <w:p w14:paraId="049C3F58" w14:textId="07BECFBD"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viii. Remove the disavowal of sanctions from the Roadmap.</w:t>
      </w:r>
      <w:r w:rsidRPr="00640D42">
        <w:rPr>
          <w:rFonts w:ascii="Times New Roman" w:hAnsi="Times New Roman" w:cs="Times New Roman"/>
        </w:rPr>
        <w:t xml:space="preserve"> </w:t>
      </w:r>
      <w:r w:rsidR="00FA08D1" w:rsidRPr="00640D42">
        <w:rPr>
          <w:rFonts w:ascii="Times New Roman" w:hAnsi="Times New Roman" w:cs="Times New Roman"/>
        </w:rPr>
        <w:t>In practice, forbearance is defensible, but publishing it in the governing instrument is not.</w:t>
      </w:r>
      <w:r w:rsidRPr="00640D42">
        <w:rPr>
          <w:rFonts w:ascii="Times New Roman" w:hAnsi="Times New Roman" w:cs="Times New Roman"/>
        </w:rPr>
        <w:t xml:space="preserve"> The FRC can be as supportive as it judges necessary without saying in advance that it does not expect to enforce.</w:t>
      </w:r>
    </w:p>
    <w:p w14:paraId="7936C445" w14:textId="782FF563"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ix. Bring Scope 3, scenario analysis, and transition plans into limited assurance earlier.</w:t>
      </w:r>
      <w:r w:rsidRPr="00640D42">
        <w:rPr>
          <w:rFonts w:ascii="Times New Roman" w:hAnsi="Times New Roman" w:cs="Times New Roman"/>
        </w:rPr>
        <w:t xml:space="preserve"> These are the most estimation-dependent disclosures in the standard and the least practised in this market. </w:t>
      </w:r>
      <w:r w:rsidR="00621F3E" w:rsidRPr="00640D42">
        <w:rPr>
          <w:rFonts w:ascii="Times New Roman" w:hAnsi="Times New Roman" w:cs="Times New Roman"/>
        </w:rPr>
        <w:t>Deferring their verification to 2033 sequences assurance in the incorrect order.</w:t>
      </w:r>
    </w:p>
    <w:p w14:paraId="451478D6" w14:textId="73773561"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b/>
          <w:bCs/>
        </w:rPr>
        <w:t>x. Specify the licensing regime for sustainability assurance providers now.</w:t>
      </w:r>
      <w:r w:rsidRPr="00640D42">
        <w:rPr>
          <w:rFonts w:ascii="Times New Roman" w:hAnsi="Times New Roman" w:cs="Times New Roman"/>
        </w:rPr>
        <w:t xml:space="preserve"> </w:t>
      </w:r>
      <w:r w:rsidR="00621F3E" w:rsidRPr="00640D42">
        <w:rPr>
          <w:rFonts w:ascii="Times New Roman" w:hAnsi="Times New Roman" w:cs="Times New Roman"/>
        </w:rPr>
        <w:t>The ISSA 5000 will come into effect in December 2026.</w:t>
      </w:r>
      <w:r w:rsidRPr="00640D42">
        <w:rPr>
          <w:rFonts w:ascii="Times New Roman" w:hAnsi="Times New Roman" w:cs="Times New Roman"/>
        </w:rPr>
        <w:t xml:space="preserve"> </w:t>
      </w:r>
      <w:r w:rsidR="00621F3E" w:rsidRPr="00640D42">
        <w:rPr>
          <w:rFonts w:ascii="Times New Roman" w:hAnsi="Times New Roman" w:cs="Times New Roman"/>
        </w:rPr>
        <w:t xml:space="preserve">A market cannot be built on qualifications that remain </w:t>
      </w:r>
      <w:r w:rsidR="009A1A5F">
        <w:rPr>
          <w:rFonts w:ascii="Times New Roman" w:hAnsi="Times New Roman" w:cs="Times New Roman"/>
        </w:rPr>
        <w:t>undetermined</w:t>
      </w:r>
      <w:r w:rsidR="00621F3E" w:rsidRPr="00640D42">
        <w:rPr>
          <w:rFonts w:ascii="Times New Roman" w:hAnsi="Times New Roman" w:cs="Times New Roman"/>
        </w:rPr>
        <w:t>.</w:t>
      </w:r>
    </w:p>
    <w:p w14:paraId="079BF5D2" w14:textId="2062BA35" w:rsidR="00AA148B" w:rsidRPr="0056770C" w:rsidRDefault="00AA148B" w:rsidP="00AA148B">
      <w:pPr>
        <w:pStyle w:val="Heading2"/>
        <w:spacing w:line="360" w:lineRule="auto"/>
        <w:jc w:val="both"/>
        <w:rPr>
          <w:b/>
          <w:bCs/>
          <w:color w:val="auto"/>
          <w:sz w:val="28"/>
          <w:szCs w:val="28"/>
        </w:rPr>
      </w:pPr>
      <w:bookmarkStart w:id="24" w:name="conclusion-and-limitations"/>
      <w:bookmarkEnd w:id="23"/>
      <w:r w:rsidRPr="0056770C">
        <w:rPr>
          <w:b/>
          <w:bCs/>
          <w:color w:val="auto"/>
          <w:sz w:val="28"/>
          <w:szCs w:val="28"/>
        </w:rPr>
        <w:t>1</w:t>
      </w:r>
      <w:r w:rsidR="0056770C" w:rsidRPr="0056770C">
        <w:rPr>
          <w:b/>
          <w:bCs/>
          <w:color w:val="auto"/>
          <w:sz w:val="28"/>
          <w:szCs w:val="28"/>
        </w:rPr>
        <w:t>2</w:t>
      </w:r>
      <w:r w:rsidRPr="0056770C">
        <w:rPr>
          <w:b/>
          <w:bCs/>
          <w:color w:val="auto"/>
          <w:sz w:val="28"/>
          <w:szCs w:val="28"/>
        </w:rPr>
        <w:t>. Conclusion and Limitations</w:t>
      </w:r>
    </w:p>
    <w:p w14:paraId="72A83CDB" w14:textId="77777777" w:rsidR="00200768" w:rsidRPr="00200768" w:rsidRDefault="00200768" w:rsidP="00200768">
      <w:pPr>
        <w:pStyle w:val="BodyText"/>
        <w:spacing w:line="360" w:lineRule="auto"/>
        <w:jc w:val="both"/>
        <w:rPr>
          <w:rFonts w:ascii="Times New Roman" w:hAnsi="Times New Roman" w:cs="Times New Roman"/>
        </w:rPr>
      </w:pPr>
      <w:r w:rsidRPr="00200768">
        <w:rPr>
          <w:rFonts w:ascii="Times New Roman" w:hAnsi="Times New Roman" w:cs="Times New Roman"/>
        </w:rPr>
        <w:t>Nigeria's ISSB roadmap is a serious instrument, produced by a regulator that moved earlier than any African peer and has held to a public timetable. This paper disputes neither the ambition nor the deadline; rather, it disputes the assumption that the deadline is the hard part.</w:t>
      </w:r>
    </w:p>
    <w:p w14:paraId="4751C6EA" w14:textId="73870F05" w:rsidR="00200768" w:rsidRPr="00200768" w:rsidRDefault="007E4189" w:rsidP="00200768">
      <w:pPr>
        <w:pStyle w:val="BodyText"/>
        <w:spacing w:line="360" w:lineRule="auto"/>
        <w:jc w:val="both"/>
        <w:rPr>
          <w:rFonts w:ascii="Times New Roman" w:hAnsi="Times New Roman" w:cs="Times New Roman"/>
        </w:rPr>
      </w:pPr>
      <w:r w:rsidRPr="007E4189">
        <w:rPr>
          <w:rFonts w:ascii="Times New Roman" w:hAnsi="Times New Roman" w:cs="Times New Roman"/>
        </w:rPr>
        <w:t>The four defects are ones of allocation, measurement, enforcement, and sequencing, developed in turn above</w:t>
      </w:r>
      <w:r w:rsidR="007B0E9F">
        <w:rPr>
          <w:rFonts w:ascii="Times New Roman" w:hAnsi="Times New Roman" w:cs="Times New Roman"/>
        </w:rPr>
        <w:t xml:space="preserve">, and none </w:t>
      </w:r>
      <w:r w:rsidR="00200768" w:rsidRPr="00200768">
        <w:rPr>
          <w:rFonts w:ascii="Times New Roman" w:hAnsi="Times New Roman" w:cs="Times New Roman"/>
        </w:rPr>
        <w:t xml:space="preserve">of the four defects needs legislation to fix; each needs a decision the FRC has not yet taken. For the first and most consequential, the remedy already sits in the statute, since section 404(7) of the Companies and Allied Matters Act lets a company's articles confer additional functions on the statutory </w:t>
      </w:r>
      <w:r w:rsidR="00200768" w:rsidRPr="00200768">
        <w:rPr>
          <w:rFonts w:ascii="Times New Roman" w:hAnsi="Times New Roman" w:cs="Times New Roman"/>
        </w:rPr>
        <w:lastRenderedPageBreak/>
        <w:t>audit committee. A Nigerian public company that wants sustainability oversight to rest with its shareholder-elected body can arrange it by special resolution today, without waiting on anyone.</w:t>
      </w:r>
    </w:p>
    <w:p w14:paraId="65215A01" w14:textId="6124C16C" w:rsidR="00AA148B" w:rsidRPr="00640D42" w:rsidRDefault="00200768" w:rsidP="00200768">
      <w:pPr>
        <w:pStyle w:val="BodyText"/>
        <w:spacing w:line="360" w:lineRule="auto"/>
        <w:jc w:val="both"/>
        <w:rPr>
          <w:rFonts w:ascii="Times New Roman" w:hAnsi="Times New Roman" w:cs="Times New Roman"/>
        </w:rPr>
      </w:pPr>
      <w:r w:rsidRPr="00200768">
        <w:rPr>
          <w:rFonts w:ascii="Times New Roman" w:hAnsi="Times New Roman" w:cs="Times New Roman"/>
        </w:rPr>
        <w:t>All four defects remain inside the window that is left, and the window is closing</w:t>
      </w:r>
      <w:r w:rsidR="00E12602">
        <w:rPr>
          <w:rFonts w:ascii="Times New Roman" w:hAnsi="Times New Roman" w:cs="Times New Roman"/>
        </w:rPr>
        <w:t>.</w:t>
      </w:r>
    </w:p>
    <w:p w14:paraId="7369384E" w14:textId="37688A52" w:rsidR="0012554A" w:rsidRPr="00640D42" w:rsidRDefault="00D632DA" w:rsidP="00AA148B">
      <w:pPr>
        <w:pStyle w:val="BodyText"/>
        <w:spacing w:line="360" w:lineRule="auto"/>
        <w:jc w:val="both"/>
        <w:rPr>
          <w:rFonts w:ascii="Times New Roman" w:hAnsi="Times New Roman" w:cs="Times New Roman"/>
        </w:rPr>
      </w:pPr>
      <w:r>
        <w:rPr>
          <w:rFonts w:ascii="Times New Roman" w:hAnsi="Times New Roman" w:cs="Times New Roman"/>
          <w:b/>
          <w:bCs/>
        </w:rPr>
        <w:t xml:space="preserve">12.1 </w:t>
      </w:r>
      <w:r w:rsidR="00AA148B" w:rsidRPr="00640D42">
        <w:rPr>
          <w:rFonts w:ascii="Times New Roman" w:hAnsi="Times New Roman" w:cs="Times New Roman"/>
          <w:b/>
          <w:bCs/>
        </w:rPr>
        <w:t>Limitations</w:t>
      </w:r>
    </w:p>
    <w:p w14:paraId="11D279E2" w14:textId="77777777" w:rsidR="00DD2465" w:rsidRPr="00DD2465" w:rsidRDefault="00DD2465" w:rsidP="00DD2465">
      <w:pPr>
        <w:pStyle w:val="BodyText"/>
        <w:spacing w:line="360" w:lineRule="auto"/>
        <w:jc w:val="both"/>
        <w:rPr>
          <w:rFonts w:ascii="Times New Roman" w:hAnsi="Times New Roman" w:cs="Times New Roman"/>
        </w:rPr>
      </w:pPr>
      <w:r w:rsidRPr="00DD2465">
        <w:rPr>
          <w:rFonts w:ascii="Times New Roman" w:hAnsi="Times New Roman" w:cs="Times New Roman"/>
        </w:rPr>
        <w:t>This is a documentary analysis, and it carries the limits of the genre. The most obvious objection is that we have not asked Nigerian firms what they actually do. Some issuers may already have resolved the oversight allocation for themselves, whether by amending their articles, by extending a committee's terms of reference, or by seeking guidance from the FRC that has never been published. We have not surveyed them, so we cannot say how many have done so.</w:t>
      </w:r>
    </w:p>
    <w:p w14:paraId="529A7F9C" w14:textId="77777777" w:rsidR="00DD2465" w:rsidRPr="00DD2465" w:rsidRDefault="00DD2465" w:rsidP="00DD2465">
      <w:pPr>
        <w:pStyle w:val="BodyText"/>
        <w:spacing w:line="360" w:lineRule="auto"/>
        <w:jc w:val="both"/>
        <w:rPr>
          <w:rFonts w:ascii="Times New Roman" w:hAnsi="Times New Roman" w:cs="Times New Roman"/>
        </w:rPr>
      </w:pPr>
      <w:r w:rsidRPr="00DD2465">
        <w:rPr>
          <w:rFonts w:ascii="Times New Roman" w:hAnsi="Times New Roman" w:cs="Times New Roman"/>
        </w:rPr>
        <w:t>The objection is answerable, because our claim is about the regulator's instruments rather than about the firms' responses to them. The Roadmap and SRG 1 name no governance body, and no amount of ingenuity at the level of the individual firm changes what the instruments say. A workaround is evidence that a framework has failed, not evidence that it has held, and a company forced to amend its articles to establish who oversees its sustainability disclosures is demonstrating the gap rather than closing it. Informal guidance from a regulator unwilling to commit that guidance to an instrument is the same problem in a different guise, since it reaches only the firms that already know to ask.</w:t>
      </w:r>
    </w:p>
    <w:p w14:paraId="0C1E5978" w14:textId="77777777" w:rsidR="00DD2465" w:rsidRPr="00DD2465" w:rsidRDefault="00DD2465" w:rsidP="00DD2465">
      <w:pPr>
        <w:pStyle w:val="BodyText"/>
        <w:spacing w:line="360" w:lineRule="auto"/>
        <w:jc w:val="both"/>
        <w:rPr>
          <w:rFonts w:ascii="Times New Roman" w:hAnsi="Times New Roman" w:cs="Times New Roman"/>
        </w:rPr>
      </w:pPr>
      <w:r w:rsidRPr="00DD2465">
        <w:rPr>
          <w:rFonts w:ascii="Times New Roman" w:hAnsi="Times New Roman" w:cs="Times New Roman"/>
        </w:rPr>
        <w:t>Work at the level of the firm would establish something different and worth having: how Nigerian entities have responded to the silence, whether those responses converge on a common practice, and whether the two committee types differ in capability. Those are questions for a companion study, which we intend to carry out.</w:t>
      </w:r>
    </w:p>
    <w:p w14:paraId="035B0340" w14:textId="77777777" w:rsidR="00DD2465" w:rsidRPr="00DD2465" w:rsidRDefault="00DD2465" w:rsidP="00DD2465">
      <w:pPr>
        <w:pStyle w:val="BodyText"/>
        <w:spacing w:line="360" w:lineRule="auto"/>
        <w:jc w:val="both"/>
        <w:rPr>
          <w:rFonts w:ascii="Times New Roman" w:hAnsi="Times New Roman" w:cs="Times New Roman"/>
        </w:rPr>
      </w:pPr>
      <w:r w:rsidRPr="00DD2465">
        <w:rPr>
          <w:rFonts w:ascii="Times New Roman" w:hAnsi="Times New Roman" w:cs="Times New Roman"/>
        </w:rPr>
        <w:t>Three further limits should be acknowledged: We have not examined the present capacity of Nigeria's sustainability assurance market, so the claim that thirteen months is a short window in which to build one is a judgement rather than a finding, and the number of firms already preparing for ISSA 5000, which is unknown to us, would materially affect how serious the fourth defect turns out to be. The comparison in Section 11 rests on only two jurisdictions, and South Africa's clarity on governance may owe as much to a corporate law with a single audit committee, and to a deeper governance infrastructure, as to better regulatory drafting. Section 8 borrows a framework developed in health services research, on the ground that Weiner's construct is organisational rather than clinical and its determinants are domain-neutral, so a reader who rejects that transfer will reject the section along with it.</w:t>
      </w:r>
    </w:p>
    <w:p w14:paraId="4D66C0BD" w14:textId="660B8EA2" w:rsidR="00AA148B" w:rsidRPr="00640D42" w:rsidRDefault="00DD2465" w:rsidP="00DD2465">
      <w:pPr>
        <w:pStyle w:val="BodyText"/>
        <w:spacing w:line="360" w:lineRule="auto"/>
        <w:jc w:val="both"/>
        <w:rPr>
          <w:rFonts w:ascii="Times New Roman" w:hAnsi="Times New Roman" w:cs="Times New Roman"/>
        </w:rPr>
      </w:pPr>
      <w:r w:rsidRPr="00DD2465">
        <w:rPr>
          <w:rFonts w:ascii="Times New Roman" w:hAnsi="Times New Roman" w:cs="Times New Roman"/>
        </w:rPr>
        <w:lastRenderedPageBreak/>
        <w:t>The paper's contribution is to have put four questions to a mandate that binds in eighteen months, and that the mandate itself does not answer</w:t>
      </w:r>
      <w:r w:rsidR="00621F3E" w:rsidRPr="00640D42">
        <w:rPr>
          <w:rFonts w:ascii="Times New Roman" w:hAnsi="Times New Roman" w:cs="Times New Roman"/>
        </w:rPr>
        <w:t>.</w:t>
      </w:r>
    </w:p>
    <w:p w14:paraId="2A58564E" w14:textId="77777777" w:rsidR="00024D11" w:rsidRPr="00640D42" w:rsidRDefault="00024D11" w:rsidP="00024D11">
      <w:pPr>
        <w:pStyle w:val="BodyText"/>
        <w:spacing w:line="360" w:lineRule="auto"/>
        <w:jc w:val="both"/>
        <w:rPr>
          <w:rFonts w:ascii="Times New Roman" w:hAnsi="Times New Roman" w:cs="Times New Roman"/>
        </w:rPr>
      </w:pPr>
      <w:r w:rsidRPr="00640D42">
        <w:rPr>
          <w:rFonts w:ascii="Times New Roman" w:hAnsi="Times New Roman" w:cs="Times New Roman"/>
          <w:b/>
          <w:bCs/>
        </w:rPr>
        <w:t>Funding.</w:t>
      </w:r>
      <w:r w:rsidRPr="00640D42">
        <w:rPr>
          <w:rFonts w:ascii="Times New Roman" w:hAnsi="Times New Roman" w:cs="Times New Roman"/>
        </w:rPr>
        <w:t xml:space="preserve"> This research was not funded by any government, research institute, or non-governmental organisation.</w:t>
      </w:r>
    </w:p>
    <w:p w14:paraId="19F3BCA3" w14:textId="32DD6D8F" w:rsidR="00024D11" w:rsidRPr="00640D42" w:rsidRDefault="00621F3E" w:rsidP="00024D11">
      <w:pPr>
        <w:pStyle w:val="BodyText"/>
        <w:spacing w:line="360" w:lineRule="auto"/>
        <w:jc w:val="both"/>
        <w:rPr>
          <w:rFonts w:ascii="Times New Roman" w:hAnsi="Times New Roman" w:cs="Times New Roman"/>
        </w:rPr>
      </w:pPr>
      <w:r w:rsidRPr="00640D42">
        <w:rPr>
          <w:rFonts w:ascii="Times New Roman" w:hAnsi="Times New Roman" w:cs="Times New Roman"/>
          <w:b/>
          <w:bCs/>
        </w:rPr>
        <w:t>Declarations of Conflicting Interests.</w:t>
      </w:r>
      <w:r w:rsidR="00024D11" w:rsidRPr="00640D42">
        <w:rPr>
          <w:rFonts w:ascii="Times New Roman" w:hAnsi="Times New Roman" w:cs="Times New Roman"/>
        </w:rPr>
        <w:t xml:space="preserve"> </w:t>
      </w:r>
      <w:r w:rsidR="00FE0041" w:rsidRPr="00640D42">
        <w:rPr>
          <w:rFonts w:ascii="Times New Roman" w:hAnsi="Times New Roman" w:cs="Times New Roman"/>
        </w:rPr>
        <w:t>The authors declare no conflicts of interest.</w:t>
      </w:r>
    </w:p>
    <w:p w14:paraId="36988BF0" w14:textId="6ED58929" w:rsidR="00024D11" w:rsidRPr="00640D42" w:rsidRDefault="00024D11" w:rsidP="00024D11">
      <w:pPr>
        <w:pStyle w:val="BodyText"/>
        <w:spacing w:line="360" w:lineRule="auto"/>
        <w:jc w:val="both"/>
        <w:rPr>
          <w:rFonts w:ascii="Times New Roman" w:hAnsi="Times New Roman" w:cs="Times New Roman"/>
        </w:rPr>
      </w:pPr>
      <w:r w:rsidRPr="00640D42">
        <w:rPr>
          <w:rFonts w:ascii="Times New Roman" w:hAnsi="Times New Roman" w:cs="Times New Roman"/>
          <w:b/>
          <w:bCs/>
        </w:rPr>
        <w:t>Ethics Statement.</w:t>
      </w:r>
      <w:r w:rsidRPr="00640D42">
        <w:rPr>
          <w:rFonts w:ascii="Times New Roman" w:hAnsi="Times New Roman" w:cs="Times New Roman"/>
        </w:rPr>
        <w:t xml:space="preserve"> </w:t>
      </w:r>
      <w:r w:rsidR="00FE0041" w:rsidRPr="00640D42">
        <w:rPr>
          <w:rFonts w:ascii="Times New Roman" w:hAnsi="Times New Roman" w:cs="Times New Roman"/>
        </w:rPr>
        <w:t>This study conducts a doctrinal and comparative analysis of publicly available regulatory instruments.</w:t>
      </w:r>
      <w:r w:rsidRPr="00640D42">
        <w:rPr>
          <w:rFonts w:ascii="Times New Roman" w:hAnsi="Times New Roman" w:cs="Times New Roman"/>
        </w:rPr>
        <w:t xml:space="preserve"> </w:t>
      </w:r>
      <w:r w:rsidR="00FE0041" w:rsidRPr="00640D42">
        <w:rPr>
          <w:rFonts w:ascii="Times New Roman" w:hAnsi="Times New Roman" w:cs="Times New Roman"/>
        </w:rPr>
        <w:t>This study did not involve human participants or primary data collection; therefore, ethical approval was not required.</w:t>
      </w:r>
    </w:p>
    <w:p w14:paraId="153D3E0C" w14:textId="4CED96E2" w:rsidR="00024D11" w:rsidRPr="00640D42" w:rsidRDefault="00024D11" w:rsidP="00024D11">
      <w:pPr>
        <w:pStyle w:val="BodyText"/>
        <w:spacing w:line="360" w:lineRule="auto"/>
        <w:jc w:val="both"/>
        <w:rPr>
          <w:rFonts w:ascii="Times New Roman" w:hAnsi="Times New Roman" w:cs="Times New Roman"/>
        </w:rPr>
      </w:pPr>
      <w:r w:rsidRPr="00640D42">
        <w:rPr>
          <w:rFonts w:ascii="Times New Roman" w:hAnsi="Times New Roman" w:cs="Times New Roman"/>
          <w:b/>
          <w:bCs/>
        </w:rPr>
        <w:t>Data Availability Statement.</w:t>
      </w:r>
      <w:r w:rsidRPr="00640D42">
        <w:rPr>
          <w:rFonts w:ascii="Times New Roman" w:hAnsi="Times New Roman" w:cs="Times New Roman"/>
        </w:rPr>
        <w:t xml:space="preserve"> </w:t>
      </w:r>
      <w:r w:rsidR="00FE0041" w:rsidRPr="00640D42">
        <w:rPr>
          <w:rFonts w:ascii="Times New Roman" w:hAnsi="Times New Roman" w:cs="Times New Roman"/>
        </w:rPr>
        <w:t>This study analysed publicly available regulatory documents.</w:t>
      </w:r>
      <w:r w:rsidRPr="00640D42">
        <w:rPr>
          <w:rFonts w:ascii="Times New Roman" w:hAnsi="Times New Roman" w:cs="Times New Roman"/>
        </w:rPr>
        <w:t xml:space="preserve"> </w:t>
      </w:r>
      <w:r w:rsidR="00FE0041" w:rsidRPr="00640D42">
        <w:rPr>
          <w:rFonts w:ascii="Times New Roman" w:hAnsi="Times New Roman" w:cs="Times New Roman"/>
        </w:rPr>
        <w:t>All sources are cited and linked to the reference list.</w:t>
      </w:r>
      <w:r w:rsidRPr="00640D42">
        <w:rPr>
          <w:rFonts w:ascii="Times New Roman" w:hAnsi="Times New Roman" w:cs="Times New Roman"/>
        </w:rPr>
        <w:t xml:space="preserve"> </w:t>
      </w:r>
      <w:r w:rsidR="00FE0041" w:rsidRPr="00640D42">
        <w:rPr>
          <w:rFonts w:ascii="Times New Roman" w:hAnsi="Times New Roman" w:cs="Times New Roman"/>
        </w:rPr>
        <w:t xml:space="preserve">No new data </w:t>
      </w:r>
      <w:r w:rsidR="0044667B">
        <w:rPr>
          <w:rFonts w:ascii="Times New Roman" w:hAnsi="Times New Roman" w:cs="Times New Roman"/>
        </w:rPr>
        <w:t>were</w:t>
      </w:r>
      <w:r w:rsidR="00FE0041" w:rsidRPr="00640D42">
        <w:rPr>
          <w:rFonts w:ascii="Times New Roman" w:hAnsi="Times New Roman" w:cs="Times New Roman"/>
        </w:rPr>
        <w:t xml:space="preserve"> generated.</w:t>
      </w:r>
    </w:p>
    <w:p w14:paraId="326B7400" w14:textId="77777777" w:rsidR="00024D11" w:rsidRPr="00640D42" w:rsidRDefault="00024D11" w:rsidP="00AA148B">
      <w:pPr>
        <w:pStyle w:val="BodyText"/>
        <w:spacing w:line="360" w:lineRule="auto"/>
        <w:jc w:val="both"/>
        <w:rPr>
          <w:rFonts w:ascii="Times New Roman" w:hAnsi="Times New Roman" w:cs="Times New Roman"/>
        </w:rPr>
      </w:pPr>
    </w:p>
    <w:p w14:paraId="39ABE365" w14:textId="77777777" w:rsidR="0012554A" w:rsidRPr="00640D42" w:rsidRDefault="0012554A">
      <w:pPr>
        <w:rPr>
          <w:sz w:val="24"/>
          <w:szCs w:val="24"/>
        </w:rPr>
      </w:pPr>
      <w:bookmarkStart w:id="25" w:name="references"/>
      <w:bookmarkEnd w:id="24"/>
      <w:r w:rsidRPr="00640D42">
        <w:rPr>
          <w:sz w:val="24"/>
          <w:szCs w:val="24"/>
        </w:rPr>
        <w:br w:type="page"/>
      </w:r>
    </w:p>
    <w:p w14:paraId="7959E187" w14:textId="04EAAAEC" w:rsidR="00AA148B" w:rsidRPr="00640D42" w:rsidRDefault="00AA148B" w:rsidP="00AA148B">
      <w:pPr>
        <w:pStyle w:val="Heading2"/>
        <w:spacing w:line="360" w:lineRule="auto"/>
        <w:jc w:val="both"/>
        <w:rPr>
          <w:b/>
          <w:bCs/>
          <w:color w:val="auto"/>
          <w:sz w:val="24"/>
          <w:szCs w:val="24"/>
        </w:rPr>
      </w:pPr>
      <w:r w:rsidRPr="00640D42">
        <w:rPr>
          <w:b/>
          <w:bCs/>
          <w:color w:val="auto"/>
          <w:sz w:val="24"/>
          <w:szCs w:val="24"/>
        </w:rPr>
        <w:lastRenderedPageBreak/>
        <w:t>References</w:t>
      </w:r>
    </w:p>
    <w:p w14:paraId="082DF2DB" w14:textId="09695025" w:rsidR="00AA148B" w:rsidRPr="00640D42" w:rsidRDefault="00AA148B" w:rsidP="00AA148B">
      <w:pPr>
        <w:pStyle w:val="FirstParagraph"/>
        <w:spacing w:line="360" w:lineRule="auto"/>
        <w:jc w:val="both"/>
        <w:rPr>
          <w:rFonts w:ascii="Times New Roman" w:hAnsi="Times New Roman" w:cs="Times New Roman"/>
        </w:rPr>
      </w:pPr>
      <w:r w:rsidRPr="00640D42">
        <w:rPr>
          <w:rFonts w:ascii="Times New Roman" w:hAnsi="Times New Roman" w:cs="Times New Roman"/>
        </w:rPr>
        <w:t xml:space="preserve">Al-Shaer, H., &amp; Zaman, M. (2018). Credibility of sustainability reports: The contribution of audit committees. </w:t>
      </w:r>
      <w:r w:rsidRPr="00640D42">
        <w:rPr>
          <w:rFonts w:ascii="Times New Roman" w:hAnsi="Times New Roman" w:cs="Times New Roman"/>
          <w:i/>
          <w:iCs/>
        </w:rPr>
        <w:t>Business Strategy and the Environment, 27</w:t>
      </w:r>
      <w:r w:rsidRPr="00640D42">
        <w:rPr>
          <w:rFonts w:ascii="Times New Roman" w:hAnsi="Times New Roman" w:cs="Times New Roman"/>
        </w:rPr>
        <w:t xml:space="preserve">(7), 973-986. </w:t>
      </w:r>
      <w:hyperlink r:id="rId8" w:history="1">
        <w:r w:rsidR="0012554A" w:rsidRPr="00640D42">
          <w:rPr>
            <w:rStyle w:val="Hyperlink"/>
            <w:rFonts w:ascii="Times New Roman" w:hAnsi="Times New Roman" w:cs="Times New Roman"/>
          </w:rPr>
          <w:t>https://doi.org/10.1002/bse.2046</w:t>
        </w:r>
      </w:hyperlink>
      <w:r w:rsidR="0012554A" w:rsidRPr="00640D42">
        <w:rPr>
          <w:rFonts w:ascii="Times New Roman" w:hAnsi="Times New Roman" w:cs="Times New Roman"/>
        </w:rPr>
        <w:t xml:space="preserve"> </w:t>
      </w:r>
    </w:p>
    <w:p w14:paraId="65CA63F1" w14:textId="6FD9850E"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Appiah, K. O., Awunyo-Vitor, D., Mireku, K., &amp; Ahiagbah, C. (2016). Compliance with International Financial Reporting Standards: The case of listed firms in Ghana. </w:t>
      </w:r>
      <w:r w:rsidRPr="00640D42">
        <w:rPr>
          <w:rFonts w:ascii="Times New Roman" w:hAnsi="Times New Roman" w:cs="Times New Roman"/>
          <w:i/>
          <w:iCs/>
        </w:rPr>
        <w:t>Journal of Financial Reporting and Accounting, 14</w:t>
      </w:r>
      <w:r w:rsidRPr="00640D42">
        <w:rPr>
          <w:rFonts w:ascii="Times New Roman" w:hAnsi="Times New Roman" w:cs="Times New Roman"/>
        </w:rPr>
        <w:t xml:space="preserve">(1), 131-156. </w:t>
      </w:r>
      <w:hyperlink r:id="rId9" w:history="1">
        <w:r w:rsidR="0012554A" w:rsidRPr="00640D42">
          <w:rPr>
            <w:rStyle w:val="Hyperlink"/>
            <w:rFonts w:ascii="Times New Roman" w:hAnsi="Times New Roman" w:cs="Times New Roman"/>
          </w:rPr>
          <w:t>https://doi.org/10.1108/JFRA-01-2015-0003</w:t>
        </w:r>
      </w:hyperlink>
      <w:r w:rsidR="0012554A" w:rsidRPr="00640D42">
        <w:rPr>
          <w:rFonts w:ascii="Times New Roman" w:hAnsi="Times New Roman" w:cs="Times New Roman"/>
        </w:rPr>
        <w:t xml:space="preserve"> </w:t>
      </w:r>
    </w:p>
    <w:p w14:paraId="20691115" w14:textId="7CEB182D"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Armenakis, A. A., Harris, S. G., &amp; Mossholder, K. W. (1993). Creating readiness for organizational change. </w:t>
      </w:r>
      <w:r w:rsidRPr="00640D42">
        <w:rPr>
          <w:rFonts w:ascii="Times New Roman" w:hAnsi="Times New Roman" w:cs="Times New Roman"/>
          <w:i/>
          <w:iCs/>
        </w:rPr>
        <w:t>Human Relations, 46</w:t>
      </w:r>
      <w:r w:rsidRPr="00640D42">
        <w:rPr>
          <w:rFonts w:ascii="Times New Roman" w:hAnsi="Times New Roman" w:cs="Times New Roman"/>
        </w:rPr>
        <w:t xml:space="preserve">(6), 681-703. </w:t>
      </w:r>
      <w:hyperlink r:id="rId10" w:history="1">
        <w:r w:rsidR="0012554A" w:rsidRPr="00640D42">
          <w:rPr>
            <w:rStyle w:val="Hyperlink"/>
            <w:rFonts w:ascii="Times New Roman" w:hAnsi="Times New Roman" w:cs="Times New Roman"/>
          </w:rPr>
          <w:t>https://doi.org/10.1177/001872679304600601</w:t>
        </w:r>
      </w:hyperlink>
      <w:r w:rsidR="0012554A" w:rsidRPr="00640D42">
        <w:rPr>
          <w:rFonts w:ascii="Times New Roman" w:hAnsi="Times New Roman" w:cs="Times New Roman"/>
        </w:rPr>
        <w:t xml:space="preserve"> </w:t>
      </w:r>
    </w:p>
    <w:p w14:paraId="79C1281E" w14:textId="6B8F53B4"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Boolaky, P. K., Tawiah, V., &amp; Soobaroyen, T. (2020). Why do African countries adopt IFRS? An institutional perspective. </w:t>
      </w:r>
      <w:r w:rsidRPr="00640D42">
        <w:rPr>
          <w:rFonts w:ascii="Times New Roman" w:hAnsi="Times New Roman" w:cs="Times New Roman"/>
          <w:i/>
          <w:iCs/>
        </w:rPr>
        <w:t>The International Journal of Accounting, 55</w:t>
      </w:r>
      <w:r w:rsidRPr="00640D42">
        <w:rPr>
          <w:rFonts w:ascii="Times New Roman" w:hAnsi="Times New Roman" w:cs="Times New Roman"/>
        </w:rPr>
        <w:t xml:space="preserve">(1), Article 2050005. </w:t>
      </w:r>
      <w:hyperlink r:id="rId11" w:history="1">
        <w:r w:rsidR="0012554A" w:rsidRPr="00640D42">
          <w:rPr>
            <w:rStyle w:val="Hyperlink"/>
            <w:rFonts w:ascii="Times New Roman" w:hAnsi="Times New Roman" w:cs="Times New Roman"/>
          </w:rPr>
          <w:t>https://doi.org/10.1142/S1094406020500055</w:t>
        </w:r>
      </w:hyperlink>
      <w:r w:rsidR="0012554A" w:rsidRPr="00640D42">
        <w:rPr>
          <w:rFonts w:ascii="Times New Roman" w:hAnsi="Times New Roman" w:cs="Times New Roman"/>
        </w:rPr>
        <w:t xml:space="preserve"> </w:t>
      </w:r>
    </w:p>
    <w:p w14:paraId="022D10C5" w14:textId="32376352"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Bova, F., &amp; Pereira, R. (2012). The determinants and consequences of heterogeneous IFRS compliance levels following mandatory IFRS adoption: Evidence from a developing country. </w:t>
      </w:r>
      <w:r w:rsidRPr="00640D42">
        <w:rPr>
          <w:rFonts w:ascii="Times New Roman" w:hAnsi="Times New Roman" w:cs="Times New Roman"/>
          <w:i/>
          <w:iCs/>
        </w:rPr>
        <w:t>Journal of International Accounting Research, 11</w:t>
      </w:r>
      <w:r w:rsidRPr="00640D42">
        <w:rPr>
          <w:rFonts w:ascii="Times New Roman" w:hAnsi="Times New Roman" w:cs="Times New Roman"/>
        </w:rPr>
        <w:t xml:space="preserve">(1), 83-111. </w:t>
      </w:r>
      <w:hyperlink r:id="rId12" w:history="1">
        <w:r w:rsidR="0012554A" w:rsidRPr="00640D42">
          <w:rPr>
            <w:rStyle w:val="Hyperlink"/>
            <w:rFonts w:ascii="Times New Roman" w:hAnsi="Times New Roman" w:cs="Times New Roman"/>
          </w:rPr>
          <w:t>https://doi.org/10.2308/jiar-10211</w:t>
        </w:r>
      </w:hyperlink>
      <w:r w:rsidR="0012554A" w:rsidRPr="00640D42">
        <w:rPr>
          <w:rFonts w:ascii="Times New Roman" w:hAnsi="Times New Roman" w:cs="Times New Roman"/>
        </w:rPr>
        <w:t xml:space="preserve"> </w:t>
      </w:r>
    </w:p>
    <w:p w14:paraId="15E91170" w14:textId="7434FECF"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Caci, L., Nyantakyi, E., Blum, K., Sonpar, A., Schultes, M.-T., Albers, B., &amp; Clack, L. (2025). Organizational readiness for change: A systematic review of the healthcare literature. </w:t>
      </w:r>
      <w:r w:rsidRPr="00640D42">
        <w:rPr>
          <w:rFonts w:ascii="Times New Roman" w:hAnsi="Times New Roman" w:cs="Times New Roman"/>
          <w:i/>
          <w:iCs/>
        </w:rPr>
        <w:t>Implementation Research and Practice, 6</w:t>
      </w:r>
      <w:r w:rsidRPr="00640D42">
        <w:rPr>
          <w:rFonts w:ascii="Times New Roman" w:hAnsi="Times New Roman" w:cs="Times New Roman"/>
        </w:rPr>
        <w:t xml:space="preserve">, Article 26334895251334536. </w:t>
      </w:r>
      <w:hyperlink r:id="rId13" w:history="1">
        <w:r w:rsidR="0012554A" w:rsidRPr="00640D42">
          <w:rPr>
            <w:rStyle w:val="Hyperlink"/>
            <w:rFonts w:ascii="Times New Roman" w:hAnsi="Times New Roman" w:cs="Times New Roman"/>
          </w:rPr>
          <w:t>https://doi.org/10.1177/26334895251334536</w:t>
        </w:r>
      </w:hyperlink>
      <w:r w:rsidR="0012554A" w:rsidRPr="00640D42">
        <w:rPr>
          <w:rFonts w:ascii="Times New Roman" w:hAnsi="Times New Roman" w:cs="Times New Roman"/>
        </w:rPr>
        <w:t xml:space="preserve"> </w:t>
      </w:r>
    </w:p>
    <w:p w14:paraId="294EAE30" w14:textId="62BC3513"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Central Bank of Nigeria. (2012a). </w:t>
      </w:r>
      <w:r w:rsidRPr="00640D42">
        <w:rPr>
          <w:rFonts w:ascii="Times New Roman" w:hAnsi="Times New Roman" w:cs="Times New Roman"/>
          <w:i/>
          <w:iCs/>
        </w:rPr>
        <w:t>Implementation of sustainable banking principles by banks, discount houses and development finance institutions in Nigeria</w:t>
      </w:r>
      <w:r w:rsidRPr="00640D42">
        <w:rPr>
          <w:rFonts w:ascii="Times New Roman" w:hAnsi="Times New Roman" w:cs="Times New Roman"/>
        </w:rPr>
        <w:t xml:space="preserve"> [Circular</w:t>
      </w:r>
      <w:r w:rsidR="006E28AB">
        <w:rPr>
          <w:rFonts w:ascii="Times New Roman" w:hAnsi="Times New Roman" w:cs="Times New Roman"/>
        </w:rPr>
        <w:t>)</w:t>
      </w:r>
      <w:r w:rsidRPr="00640D42">
        <w:rPr>
          <w:rFonts w:ascii="Times New Roman" w:hAnsi="Times New Roman" w:cs="Times New Roman"/>
        </w:rPr>
        <w:t xml:space="preserve">. </w:t>
      </w:r>
      <w:hyperlink r:id="rId14" w:history="1">
        <w:r w:rsidR="0012554A" w:rsidRPr="00640D42">
          <w:rPr>
            <w:rStyle w:val="Hyperlink"/>
            <w:rFonts w:ascii="Times New Roman" w:hAnsi="Times New Roman" w:cs="Times New Roman"/>
          </w:rPr>
          <w:t>https://www.cbn.gov.ng/out/2012/ccd/circular-nsbp.pdf</w:t>
        </w:r>
      </w:hyperlink>
      <w:r w:rsidR="0012554A" w:rsidRPr="00640D42">
        <w:rPr>
          <w:rFonts w:ascii="Times New Roman" w:hAnsi="Times New Roman" w:cs="Times New Roman"/>
        </w:rPr>
        <w:t xml:space="preserve"> </w:t>
      </w:r>
    </w:p>
    <w:p w14:paraId="4A7D3044" w14:textId="4E59AE32"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Central Bank of Nigeria. (2012b). </w:t>
      </w:r>
      <w:r w:rsidRPr="00640D42">
        <w:rPr>
          <w:rFonts w:ascii="Times New Roman" w:hAnsi="Times New Roman" w:cs="Times New Roman"/>
          <w:i/>
          <w:iCs/>
        </w:rPr>
        <w:t>Nigerian sustainable banking principles: Guidance note.</w:t>
      </w:r>
      <w:r w:rsidRPr="00640D42">
        <w:rPr>
          <w:rFonts w:ascii="Times New Roman" w:hAnsi="Times New Roman" w:cs="Times New Roman"/>
        </w:rPr>
        <w:t xml:space="preserve"> </w:t>
      </w:r>
      <w:hyperlink r:id="rId15" w:history="1">
        <w:r w:rsidR="0012554A" w:rsidRPr="00640D42">
          <w:rPr>
            <w:rStyle w:val="Hyperlink"/>
            <w:rFonts w:ascii="Times New Roman" w:hAnsi="Times New Roman" w:cs="Times New Roman"/>
          </w:rPr>
          <w:t>https://www.cbn.gov.ng/Out/2012/CCD/NSBP%20Guidance%20Note_Final%20Version.pdf</w:t>
        </w:r>
      </w:hyperlink>
      <w:r w:rsidR="0012554A" w:rsidRPr="00640D42">
        <w:rPr>
          <w:rFonts w:ascii="Times New Roman" w:hAnsi="Times New Roman" w:cs="Times New Roman"/>
        </w:rPr>
        <w:t xml:space="preserve"> </w:t>
      </w:r>
    </w:p>
    <w:p w14:paraId="3FB18FD2" w14:textId="373E7081"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Christensen, H. B., Hail, L., &amp; Leuz, C. (2021). Mandatory CSR and sustainability reporting: Economic analysis and literature review. </w:t>
      </w:r>
      <w:r w:rsidRPr="00640D42">
        <w:rPr>
          <w:rFonts w:ascii="Times New Roman" w:hAnsi="Times New Roman" w:cs="Times New Roman"/>
          <w:i/>
          <w:iCs/>
        </w:rPr>
        <w:t>Review of Accounting Studies, 26</w:t>
      </w:r>
      <w:r w:rsidRPr="00640D42">
        <w:rPr>
          <w:rFonts w:ascii="Times New Roman" w:hAnsi="Times New Roman" w:cs="Times New Roman"/>
        </w:rPr>
        <w:t xml:space="preserve">(3), 1176-1248. </w:t>
      </w:r>
      <w:hyperlink r:id="rId16" w:history="1">
        <w:r w:rsidR="0012554A" w:rsidRPr="00640D42">
          <w:rPr>
            <w:rStyle w:val="Hyperlink"/>
            <w:rFonts w:ascii="Times New Roman" w:hAnsi="Times New Roman" w:cs="Times New Roman"/>
          </w:rPr>
          <w:t>https://doi.org/10.1007/s11142-021-09609-5</w:t>
        </w:r>
      </w:hyperlink>
      <w:r w:rsidR="0012554A" w:rsidRPr="00640D42">
        <w:rPr>
          <w:rFonts w:ascii="Times New Roman" w:hAnsi="Times New Roman" w:cs="Times New Roman"/>
        </w:rPr>
        <w:t xml:space="preserve"> </w:t>
      </w:r>
    </w:p>
    <w:p w14:paraId="19E75371" w14:textId="7777777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Companies and Allied Matters Act, No. 3 of 2020 (Nigeria).</w:t>
      </w:r>
    </w:p>
    <w:p w14:paraId="5A78DBF5" w14:textId="1E9E13DA"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lastRenderedPageBreak/>
        <w:t xml:space="preserve">DiMaggio, P. J., &amp; Powell, W. W. (1983). The iron cage revisited: Institutional isomorphism and collective rationality in organizational fields. </w:t>
      </w:r>
      <w:r w:rsidRPr="00640D42">
        <w:rPr>
          <w:rFonts w:ascii="Times New Roman" w:hAnsi="Times New Roman" w:cs="Times New Roman"/>
          <w:i/>
          <w:iCs/>
        </w:rPr>
        <w:t>American Sociological Review, 48</w:t>
      </w:r>
      <w:r w:rsidRPr="00640D42">
        <w:rPr>
          <w:rFonts w:ascii="Times New Roman" w:hAnsi="Times New Roman" w:cs="Times New Roman"/>
        </w:rPr>
        <w:t xml:space="preserve">(2), 147-160. </w:t>
      </w:r>
      <w:hyperlink r:id="rId17" w:history="1">
        <w:r w:rsidR="0012554A" w:rsidRPr="00640D42">
          <w:rPr>
            <w:rStyle w:val="Hyperlink"/>
            <w:rFonts w:ascii="Times New Roman" w:hAnsi="Times New Roman" w:cs="Times New Roman"/>
          </w:rPr>
          <w:t>https://doi.org/10.2307/2095101</w:t>
        </w:r>
      </w:hyperlink>
      <w:r w:rsidR="0012554A" w:rsidRPr="00640D42">
        <w:rPr>
          <w:rFonts w:ascii="Times New Roman" w:hAnsi="Times New Roman" w:cs="Times New Roman"/>
        </w:rPr>
        <w:t xml:space="preserve"> </w:t>
      </w:r>
    </w:p>
    <w:p w14:paraId="699B31E6" w14:textId="0FE5435D"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Dwekat, A., Meqbel, R., Seguí-Mas, E., &amp; Tormo-Carbó, G. (2022). The role of the audit committee in enhancing the credibility of CSR disclosure: Evidence from STOXX Europe 600 members. </w:t>
      </w:r>
      <w:r w:rsidRPr="00640D42">
        <w:rPr>
          <w:rFonts w:ascii="Times New Roman" w:hAnsi="Times New Roman" w:cs="Times New Roman"/>
          <w:i/>
          <w:iCs/>
        </w:rPr>
        <w:t>Business Ethics, the Environment &amp; Responsibility, 31</w:t>
      </w:r>
      <w:r w:rsidRPr="00640D42">
        <w:rPr>
          <w:rFonts w:ascii="Times New Roman" w:hAnsi="Times New Roman" w:cs="Times New Roman"/>
        </w:rPr>
        <w:t xml:space="preserve">(3), 718-740. </w:t>
      </w:r>
      <w:hyperlink r:id="rId18" w:history="1">
        <w:r w:rsidR="0012554A" w:rsidRPr="00640D42">
          <w:rPr>
            <w:rStyle w:val="Hyperlink"/>
            <w:rFonts w:ascii="Times New Roman" w:hAnsi="Times New Roman" w:cs="Times New Roman"/>
          </w:rPr>
          <w:t>https://doi.org/10.1111/beer.12439</w:t>
        </w:r>
      </w:hyperlink>
      <w:r w:rsidR="0012554A" w:rsidRPr="00640D42">
        <w:rPr>
          <w:rFonts w:ascii="Times New Roman" w:hAnsi="Times New Roman" w:cs="Times New Roman"/>
        </w:rPr>
        <w:t xml:space="preserve"> </w:t>
      </w:r>
    </w:p>
    <w:p w14:paraId="01D633FA" w14:textId="4B5DFA75"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Erin, O., Adegboye, A., &amp; Bamigboye, O. A. (2022). Corporate governance and sustainability reporting quality: Evidence from Nigeria. </w:t>
      </w:r>
      <w:r w:rsidRPr="00640D42">
        <w:rPr>
          <w:rFonts w:ascii="Times New Roman" w:hAnsi="Times New Roman" w:cs="Times New Roman"/>
          <w:i/>
          <w:iCs/>
        </w:rPr>
        <w:t>Sustainability Accounting, Management and Policy Journal, 13</w:t>
      </w:r>
      <w:r w:rsidRPr="00640D42">
        <w:rPr>
          <w:rFonts w:ascii="Times New Roman" w:hAnsi="Times New Roman" w:cs="Times New Roman"/>
        </w:rPr>
        <w:t xml:space="preserve">(3), 680-707. </w:t>
      </w:r>
      <w:hyperlink r:id="rId19" w:history="1">
        <w:r w:rsidR="0012554A" w:rsidRPr="00640D42">
          <w:rPr>
            <w:rStyle w:val="Hyperlink"/>
            <w:rFonts w:ascii="Times New Roman" w:hAnsi="Times New Roman" w:cs="Times New Roman"/>
          </w:rPr>
          <w:t>https://doi.org/10.1108/SAMPJ-06-2020-0185</w:t>
        </w:r>
      </w:hyperlink>
      <w:r w:rsidR="0012554A" w:rsidRPr="00640D42">
        <w:rPr>
          <w:rFonts w:ascii="Times New Roman" w:hAnsi="Times New Roman" w:cs="Times New Roman"/>
        </w:rPr>
        <w:t xml:space="preserve"> </w:t>
      </w:r>
    </w:p>
    <w:p w14:paraId="1194B51F" w14:textId="1D720BC2"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Erin, O., Bamigboye, O. A., &amp; Oyewo, B. (2022). Sustainable Development Goals (</w:t>
      </w:r>
      <w:r w:rsidR="00413EA5">
        <w:rPr>
          <w:rFonts w:ascii="Times New Roman" w:hAnsi="Times New Roman" w:cs="Times New Roman"/>
        </w:rPr>
        <w:t>SDGs</w:t>
      </w:r>
      <w:r w:rsidRPr="00640D42">
        <w:rPr>
          <w:rFonts w:ascii="Times New Roman" w:hAnsi="Times New Roman" w:cs="Times New Roman"/>
        </w:rPr>
        <w:t xml:space="preserve">) reporting: An analysis of disclosure. </w:t>
      </w:r>
      <w:r w:rsidRPr="00640D42">
        <w:rPr>
          <w:rFonts w:ascii="Times New Roman" w:hAnsi="Times New Roman" w:cs="Times New Roman"/>
          <w:i/>
          <w:iCs/>
        </w:rPr>
        <w:t>Journal of Accounting in Emerging Economies, 12</w:t>
      </w:r>
      <w:r w:rsidRPr="00640D42">
        <w:rPr>
          <w:rFonts w:ascii="Times New Roman" w:hAnsi="Times New Roman" w:cs="Times New Roman"/>
        </w:rPr>
        <w:t xml:space="preserve">(5), 761-789. </w:t>
      </w:r>
      <w:hyperlink r:id="rId20" w:history="1">
        <w:r w:rsidR="0012554A" w:rsidRPr="00640D42">
          <w:rPr>
            <w:rStyle w:val="Hyperlink"/>
            <w:rFonts w:ascii="Times New Roman" w:hAnsi="Times New Roman" w:cs="Times New Roman"/>
          </w:rPr>
          <w:t>https://doi.org/10.1108/JAEE-02-2020-0037</w:t>
        </w:r>
      </w:hyperlink>
      <w:r w:rsidR="0012554A" w:rsidRPr="00640D42">
        <w:rPr>
          <w:rFonts w:ascii="Times New Roman" w:hAnsi="Times New Roman" w:cs="Times New Roman"/>
        </w:rPr>
        <w:t xml:space="preserve"> </w:t>
      </w:r>
    </w:p>
    <w:p w14:paraId="10F51BB1" w14:textId="13EA2C05"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Financial Reporting Council of Nigeria. (2018). </w:t>
      </w:r>
      <w:r w:rsidR="00FE0041" w:rsidRPr="00640D42">
        <w:rPr>
          <w:rFonts w:ascii="Times New Roman" w:hAnsi="Times New Roman" w:cs="Times New Roman"/>
          <w:i/>
          <w:iCs/>
        </w:rPr>
        <w:t>Nigerian Code of Corporate Governance (2018).</w:t>
      </w:r>
    </w:p>
    <w:p w14:paraId="26340CF9" w14:textId="4A90F64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Financial Reporting Council of Nigeria. (2026a, February 26). </w:t>
      </w:r>
      <w:r w:rsidRPr="00640D42">
        <w:rPr>
          <w:rFonts w:ascii="Times New Roman" w:hAnsi="Times New Roman" w:cs="Times New Roman"/>
          <w:i/>
          <w:iCs/>
        </w:rPr>
        <w:t xml:space="preserve">FRC unveils amended roadmap and </w:t>
      </w:r>
      <w:r w:rsidR="00F42DB5" w:rsidRPr="00640D42">
        <w:rPr>
          <w:rFonts w:ascii="Times New Roman" w:hAnsi="Times New Roman" w:cs="Times New Roman"/>
          <w:i/>
          <w:iCs/>
        </w:rPr>
        <w:t>SRG to</w:t>
      </w:r>
      <w:r w:rsidRPr="00640D42">
        <w:rPr>
          <w:rFonts w:ascii="Times New Roman" w:hAnsi="Times New Roman" w:cs="Times New Roman"/>
          <w:i/>
          <w:iCs/>
        </w:rPr>
        <w:t xml:space="preserve"> strengthen adoption of IFRS sustainability disclosure standards in Nigeria</w:t>
      </w:r>
      <w:r w:rsidRPr="00640D42">
        <w:rPr>
          <w:rFonts w:ascii="Times New Roman" w:hAnsi="Times New Roman" w:cs="Times New Roman"/>
        </w:rPr>
        <w:t xml:space="preserve"> [Press release</w:t>
      </w:r>
      <w:r w:rsidR="006E28AB">
        <w:rPr>
          <w:rFonts w:ascii="Times New Roman" w:hAnsi="Times New Roman" w:cs="Times New Roman"/>
        </w:rPr>
        <w:t>)</w:t>
      </w:r>
      <w:r w:rsidRPr="00640D42">
        <w:rPr>
          <w:rFonts w:ascii="Times New Roman" w:hAnsi="Times New Roman" w:cs="Times New Roman"/>
        </w:rPr>
        <w:t xml:space="preserve">. </w:t>
      </w:r>
      <w:hyperlink r:id="rId21" w:history="1">
        <w:r w:rsidR="0012554A" w:rsidRPr="00640D42">
          <w:rPr>
            <w:rStyle w:val="Hyperlink"/>
            <w:rFonts w:ascii="Times New Roman" w:hAnsi="Times New Roman" w:cs="Times New Roman"/>
          </w:rPr>
          <w:t>https://frcnigeria.gov.ng/2026/02/26/frc-unveils-amended-roadmap-and-sustainability-reporting-guideline-to-strengthen-adoption-of-ifrs-sustainability-disclosure-standards-in-nigeria/</w:t>
        </w:r>
      </w:hyperlink>
      <w:r w:rsidR="0012554A" w:rsidRPr="00640D42">
        <w:rPr>
          <w:rFonts w:ascii="Times New Roman" w:hAnsi="Times New Roman" w:cs="Times New Roman"/>
        </w:rPr>
        <w:t xml:space="preserve"> </w:t>
      </w:r>
    </w:p>
    <w:p w14:paraId="35E284B9" w14:textId="04D7BDD9"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Financial Reporting Council of Nigeria. (2026b). </w:t>
      </w:r>
      <w:r w:rsidRPr="00640D42">
        <w:rPr>
          <w:rFonts w:ascii="Times New Roman" w:hAnsi="Times New Roman" w:cs="Times New Roman"/>
          <w:i/>
          <w:iCs/>
        </w:rPr>
        <w:t>Roadmap report for the adoption of IFRS sustainability disclosure standards in Nigeria (Amended 2026).</w:t>
      </w:r>
      <w:r w:rsidRPr="00640D42">
        <w:rPr>
          <w:rFonts w:ascii="Times New Roman" w:hAnsi="Times New Roman" w:cs="Times New Roman"/>
        </w:rPr>
        <w:t xml:space="preserve"> </w:t>
      </w:r>
      <w:hyperlink r:id="rId22" w:history="1">
        <w:r w:rsidR="0012554A" w:rsidRPr="00640D42">
          <w:rPr>
            <w:rStyle w:val="Hyperlink"/>
            <w:rFonts w:ascii="Times New Roman" w:hAnsi="Times New Roman" w:cs="Times New Roman"/>
          </w:rPr>
          <w:t>https://frcnigeria.gov.ng/wp-content/uploads/2026/02/Roadmap-Report-for-the-Adoption-of-IFRS-Sustainability-Disclosure-Standards-in-Nigeria-Amended-2026-.pdf</w:t>
        </w:r>
      </w:hyperlink>
      <w:r w:rsidR="0012554A" w:rsidRPr="00640D42">
        <w:rPr>
          <w:rFonts w:ascii="Times New Roman" w:hAnsi="Times New Roman" w:cs="Times New Roman"/>
        </w:rPr>
        <w:t xml:space="preserve"> </w:t>
      </w:r>
    </w:p>
    <w:p w14:paraId="4E0A85FF" w14:textId="5AA11B71"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Financial Reporting Council of Nigeria. (2026c). </w:t>
      </w:r>
      <w:r w:rsidR="00CA0958" w:rsidRPr="00640D42">
        <w:rPr>
          <w:rFonts w:ascii="Times New Roman" w:hAnsi="Times New Roman" w:cs="Times New Roman"/>
          <w:i/>
          <w:iCs/>
        </w:rPr>
        <w:t>SRG</w:t>
      </w:r>
      <w:r w:rsidRPr="00640D42">
        <w:rPr>
          <w:rFonts w:ascii="Times New Roman" w:hAnsi="Times New Roman" w:cs="Times New Roman"/>
          <w:i/>
          <w:iCs/>
        </w:rPr>
        <w:t>1 (SRG 1) in Nigeria (2026).</w:t>
      </w:r>
      <w:r w:rsidRPr="00640D42">
        <w:rPr>
          <w:rFonts w:ascii="Times New Roman" w:hAnsi="Times New Roman" w:cs="Times New Roman"/>
        </w:rPr>
        <w:t xml:space="preserve"> </w:t>
      </w:r>
      <w:hyperlink r:id="rId23" w:history="1">
        <w:r w:rsidR="0012554A" w:rsidRPr="00640D42">
          <w:rPr>
            <w:rStyle w:val="Hyperlink"/>
            <w:rFonts w:ascii="Times New Roman" w:hAnsi="Times New Roman" w:cs="Times New Roman"/>
          </w:rPr>
          <w:t>https://frcnigeria.gov.ng/wp-content/uploads/2026/03/Sustainability-Reporting-Guideline-SRG1-in-Nigeria-2026-SRG-.pdf</w:t>
        </w:r>
      </w:hyperlink>
      <w:r w:rsidR="0012554A" w:rsidRPr="00640D42">
        <w:rPr>
          <w:rFonts w:ascii="Times New Roman" w:hAnsi="Times New Roman" w:cs="Times New Roman"/>
        </w:rPr>
        <w:t xml:space="preserve"> </w:t>
      </w:r>
    </w:p>
    <w:p w14:paraId="04C36AD9" w14:textId="639D432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Holt, D. T., Armenakis, A. A., Feild, H. S., &amp; Harris, S. G. (2007). Readiness for organizational change: The systematic development of a scale. </w:t>
      </w:r>
      <w:r w:rsidRPr="00640D42">
        <w:rPr>
          <w:rFonts w:ascii="Times New Roman" w:hAnsi="Times New Roman" w:cs="Times New Roman"/>
          <w:i/>
          <w:iCs/>
        </w:rPr>
        <w:t>The Journal of Applied Behavioral Science, 43</w:t>
      </w:r>
      <w:r w:rsidRPr="00640D42">
        <w:rPr>
          <w:rFonts w:ascii="Times New Roman" w:hAnsi="Times New Roman" w:cs="Times New Roman"/>
        </w:rPr>
        <w:t xml:space="preserve">(2), 232-255. </w:t>
      </w:r>
      <w:hyperlink r:id="rId24" w:history="1">
        <w:r w:rsidR="0012554A" w:rsidRPr="00640D42">
          <w:rPr>
            <w:rStyle w:val="Hyperlink"/>
            <w:rFonts w:ascii="Times New Roman" w:hAnsi="Times New Roman" w:cs="Times New Roman"/>
          </w:rPr>
          <w:t>https://doi.org/10.1177/0021886306295295</w:t>
        </w:r>
      </w:hyperlink>
      <w:r w:rsidR="0012554A" w:rsidRPr="00640D42">
        <w:rPr>
          <w:rFonts w:ascii="Times New Roman" w:hAnsi="Times New Roman" w:cs="Times New Roman"/>
        </w:rPr>
        <w:t xml:space="preserve"> </w:t>
      </w:r>
    </w:p>
    <w:p w14:paraId="57E6A6D3" w14:textId="557F73A6"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lastRenderedPageBreak/>
        <w:t xml:space="preserve">IFRS Foundation. (2023a). </w:t>
      </w:r>
      <w:r w:rsidR="00FE0041" w:rsidRPr="00640D42">
        <w:rPr>
          <w:rFonts w:ascii="Times New Roman" w:hAnsi="Times New Roman" w:cs="Times New Roman"/>
          <w:i/>
          <w:iCs/>
        </w:rPr>
        <w:t>IFRS S1 General requirements for the disclosure of sustainability-related financial information.</w:t>
      </w:r>
    </w:p>
    <w:p w14:paraId="469ADBFF" w14:textId="7777777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IFRS Foundation. (2023b). </w:t>
      </w:r>
      <w:r w:rsidRPr="00640D42">
        <w:rPr>
          <w:rFonts w:ascii="Times New Roman" w:hAnsi="Times New Roman" w:cs="Times New Roman"/>
          <w:i/>
          <w:iCs/>
        </w:rPr>
        <w:t>IFRS S2 Climate-related disclosures.</w:t>
      </w:r>
    </w:p>
    <w:p w14:paraId="3DF69C54" w14:textId="4F23A34E"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Institute of Certified Public Accountants of Kenya. (2023). </w:t>
      </w:r>
      <w:r w:rsidRPr="00640D42">
        <w:rPr>
          <w:rFonts w:ascii="Times New Roman" w:hAnsi="Times New Roman" w:cs="Times New Roman"/>
          <w:i/>
          <w:iCs/>
        </w:rPr>
        <w:t>Roadmap for the adoption of IFRS Sustainability Disclosure Standards in Kenya.</w:t>
      </w:r>
      <w:r w:rsidRPr="00640D42">
        <w:rPr>
          <w:rFonts w:ascii="Times New Roman" w:hAnsi="Times New Roman" w:cs="Times New Roman"/>
        </w:rPr>
        <w:t xml:space="preserve"> </w:t>
      </w:r>
      <w:hyperlink r:id="rId25" w:history="1">
        <w:r w:rsidR="0012554A" w:rsidRPr="00640D42">
          <w:rPr>
            <w:rStyle w:val="Hyperlink"/>
            <w:rFonts w:ascii="Times New Roman" w:hAnsi="Times New Roman" w:cs="Times New Roman"/>
          </w:rPr>
          <w:t>https://www.icpak.com/roadmap-for-the-adoption-of-ifrs-sustainability-disclosure-standards-in-kenya/</w:t>
        </w:r>
      </w:hyperlink>
      <w:r w:rsidR="0012554A" w:rsidRPr="00640D42">
        <w:rPr>
          <w:rFonts w:ascii="Times New Roman" w:hAnsi="Times New Roman" w:cs="Times New Roman"/>
        </w:rPr>
        <w:t xml:space="preserve"> </w:t>
      </w:r>
    </w:p>
    <w:p w14:paraId="38D8226D" w14:textId="6E8613AB"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Institute of Directors in Southern Africa. (2016). </w:t>
      </w:r>
      <w:r w:rsidRPr="00640D42">
        <w:rPr>
          <w:rFonts w:ascii="Times New Roman" w:hAnsi="Times New Roman" w:cs="Times New Roman"/>
          <w:i/>
          <w:iCs/>
        </w:rPr>
        <w:t>King IV Report on Corporate Governance for South Africa 2016.</w:t>
      </w:r>
      <w:r w:rsidRPr="00640D42">
        <w:rPr>
          <w:rFonts w:ascii="Times New Roman" w:hAnsi="Times New Roman" w:cs="Times New Roman"/>
        </w:rPr>
        <w:t xml:space="preserve"> </w:t>
      </w:r>
      <w:hyperlink r:id="rId26" w:history="1">
        <w:r w:rsidR="0012554A" w:rsidRPr="00640D42">
          <w:rPr>
            <w:rStyle w:val="Hyperlink"/>
            <w:rFonts w:ascii="Times New Roman" w:hAnsi="Times New Roman" w:cs="Times New Roman"/>
          </w:rPr>
          <w:t>https://cdn.ymaws.com/www.iodsa.co.za/resource/collection/684B68A7-B768-465C-8214-E3A007F15A5A/IoDSA_King_IV_Report_-_WebVersion.pdf</w:t>
        </w:r>
      </w:hyperlink>
      <w:r w:rsidR="0012554A" w:rsidRPr="00640D42">
        <w:rPr>
          <w:rFonts w:ascii="Times New Roman" w:hAnsi="Times New Roman" w:cs="Times New Roman"/>
        </w:rPr>
        <w:t xml:space="preserve"> </w:t>
      </w:r>
    </w:p>
    <w:p w14:paraId="56AD7641" w14:textId="7777777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International Auditing and Assurance Standards Board. (2024). </w:t>
      </w:r>
      <w:r w:rsidRPr="00640D42">
        <w:rPr>
          <w:rFonts w:ascii="Times New Roman" w:hAnsi="Times New Roman" w:cs="Times New Roman"/>
          <w:i/>
          <w:iCs/>
        </w:rPr>
        <w:t>International Standard on Sustainability Assurance (ISSA) 5000: General requirements for sustainability assurance engagements.</w:t>
      </w:r>
      <w:r w:rsidRPr="00640D42">
        <w:rPr>
          <w:rFonts w:ascii="Times New Roman" w:hAnsi="Times New Roman" w:cs="Times New Roman"/>
        </w:rPr>
        <w:t xml:space="preserve"> International Federation of Accountants.</w:t>
      </w:r>
    </w:p>
    <w:p w14:paraId="579E8077" w14:textId="77777777"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International Ethics Standards Board for Accountants. (2025). </w:t>
      </w:r>
      <w:r w:rsidRPr="00640D42">
        <w:rPr>
          <w:rFonts w:ascii="Times New Roman" w:hAnsi="Times New Roman" w:cs="Times New Roman"/>
          <w:i/>
          <w:iCs/>
        </w:rPr>
        <w:t>International ethics standards for sustainability assurance (including international independence standards) and other revisions to the Code relating to sustainability assurance and reporting.</w:t>
      </w:r>
      <w:r w:rsidRPr="00640D42">
        <w:rPr>
          <w:rFonts w:ascii="Times New Roman" w:hAnsi="Times New Roman" w:cs="Times New Roman"/>
        </w:rPr>
        <w:t xml:space="preserve"> International Federation of Accountants.</w:t>
      </w:r>
    </w:p>
    <w:p w14:paraId="76B341CC" w14:textId="29148A04"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Johannesburg Stock Exchange. (2022). </w:t>
      </w:r>
      <w:r w:rsidR="00FE0041" w:rsidRPr="00640D42">
        <w:rPr>
          <w:rFonts w:ascii="Times New Roman" w:hAnsi="Times New Roman" w:cs="Times New Roman"/>
          <w:i/>
          <w:iCs/>
        </w:rPr>
        <w:t>JSE Sustainability Disclosure Guidance.</w:t>
      </w:r>
      <w:r w:rsidRPr="00640D42">
        <w:rPr>
          <w:rFonts w:ascii="Times New Roman" w:hAnsi="Times New Roman" w:cs="Times New Roman"/>
        </w:rPr>
        <w:t xml:space="preserve"> JSE Limited. </w:t>
      </w:r>
      <w:hyperlink r:id="rId27" w:history="1">
        <w:r w:rsidR="0012554A" w:rsidRPr="00640D42">
          <w:rPr>
            <w:rStyle w:val="Hyperlink"/>
            <w:rFonts w:ascii="Times New Roman" w:hAnsi="Times New Roman" w:cs="Times New Roman"/>
          </w:rPr>
          <w:t>https://www.jse.co.za/sites/default/files/media/documents/JSE%20Sustainability%20Disclosure%20Guidance%20June%202022.pdf</w:t>
        </w:r>
      </w:hyperlink>
      <w:r w:rsidR="0012554A" w:rsidRPr="00640D42">
        <w:rPr>
          <w:rFonts w:ascii="Times New Roman" w:hAnsi="Times New Roman" w:cs="Times New Roman"/>
        </w:rPr>
        <w:t xml:space="preserve"> </w:t>
      </w:r>
    </w:p>
    <w:p w14:paraId="55F036E1" w14:textId="37420231"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Kolk, A., &amp; Perego, P. (2010). Determinants of the adoption of sustainability assurance statements: An international investigation. </w:t>
      </w:r>
      <w:r w:rsidRPr="00640D42">
        <w:rPr>
          <w:rFonts w:ascii="Times New Roman" w:hAnsi="Times New Roman" w:cs="Times New Roman"/>
          <w:i/>
          <w:iCs/>
        </w:rPr>
        <w:t>Business Strategy and the Environment, 19</w:t>
      </w:r>
      <w:r w:rsidRPr="00640D42">
        <w:rPr>
          <w:rFonts w:ascii="Times New Roman" w:hAnsi="Times New Roman" w:cs="Times New Roman"/>
        </w:rPr>
        <w:t xml:space="preserve">(3), 182-198. </w:t>
      </w:r>
      <w:hyperlink r:id="rId28" w:history="1">
        <w:r w:rsidR="0012554A" w:rsidRPr="00640D42">
          <w:rPr>
            <w:rStyle w:val="Hyperlink"/>
            <w:rFonts w:ascii="Times New Roman" w:hAnsi="Times New Roman" w:cs="Times New Roman"/>
          </w:rPr>
          <w:t>https://doi.org/10.1002/bse.643</w:t>
        </w:r>
      </w:hyperlink>
      <w:r w:rsidR="0012554A" w:rsidRPr="00640D42">
        <w:rPr>
          <w:rFonts w:ascii="Times New Roman" w:hAnsi="Times New Roman" w:cs="Times New Roman"/>
        </w:rPr>
        <w:t xml:space="preserve"> </w:t>
      </w:r>
    </w:p>
    <w:p w14:paraId="7B7634AB" w14:textId="46066516"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Nigerian Exchange. (2018). </w:t>
      </w:r>
      <w:r w:rsidRPr="00640D42">
        <w:rPr>
          <w:rFonts w:ascii="Times New Roman" w:hAnsi="Times New Roman" w:cs="Times New Roman"/>
          <w:i/>
          <w:iCs/>
        </w:rPr>
        <w:t>Sustainability disclosure guidelines.</w:t>
      </w:r>
      <w:r w:rsidRPr="00640D42">
        <w:rPr>
          <w:rFonts w:ascii="Times New Roman" w:hAnsi="Times New Roman" w:cs="Times New Roman"/>
        </w:rPr>
        <w:t xml:space="preserve"> </w:t>
      </w:r>
      <w:hyperlink r:id="rId29" w:history="1">
        <w:r w:rsidR="0012554A" w:rsidRPr="00640D42">
          <w:rPr>
            <w:rStyle w:val="Hyperlink"/>
            <w:rFonts w:ascii="Times New Roman" w:hAnsi="Times New Roman" w:cs="Times New Roman"/>
          </w:rPr>
          <w:t>https://ngxgroup.com/ngx-download/sustainability-disclosure-guidelines/</w:t>
        </w:r>
      </w:hyperlink>
      <w:r w:rsidR="0012554A" w:rsidRPr="00640D42">
        <w:rPr>
          <w:rFonts w:ascii="Times New Roman" w:hAnsi="Times New Roman" w:cs="Times New Roman"/>
        </w:rPr>
        <w:t xml:space="preserve"> </w:t>
      </w:r>
    </w:p>
    <w:p w14:paraId="00CF89A6" w14:textId="2A29FE71"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Oyerogba, E. O., Oladele, F., Kolawole, P. E., &amp; Adeyemo, M. A. (2024). Corporate governance practices and sustainability reporting quality: Evidence from the Nigerian listed financial institution. </w:t>
      </w:r>
      <w:r w:rsidRPr="00640D42">
        <w:rPr>
          <w:rFonts w:ascii="Times New Roman" w:hAnsi="Times New Roman" w:cs="Times New Roman"/>
          <w:i/>
          <w:iCs/>
        </w:rPr>
        <w:t>Cogent Business &amp; Management, 11</w:t>
      </w:r>
      <w:r w:rsidRPr="00640D42">
        <w:rPr>
          <w:rFonts w:ascii="Times New Roman" w:hAnsi="Times New Roman" w:cs="Times New Roman"/>
        </w:rPr>
        <w:t xml:space="preserve">(1), Article 2325111. </w:t>
      </w:r>
      <w:hyperlink r:id="rId30" w:history="1">
        <w:r w:rsidR="0012554A" w:rsidRPr="00640D42">
          <w:rPr>
            <w:rStyle w:val="Hyperlink"/>
            <w:rFonts w:ascii="Times New Roman" w:hAnsi="Times New Roman" w:cs="Times New Roman"/>
          </w:rPr>
          <w:t>https://doi.org/10.1080/23311975.2024.2325111</w:t>
        </w:r>
      </w:hyperlink>
      <w:r w:rsidR="0012554A" w:rsidRPr="00640D42">
        <w:rPr>
          <w:rFonts w:ascii="Times New Roman" w:hAnsi="Times New Roman" w:cs="Times New Roman"/>
        </w:rPr>
        <w:t xml:space="preserve"> </w:t>
      </w:r>
    </w:p>
    <w:p w14:paraId="34E04CCB" w14:textId="40BB41F5"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lastRenderedPageBreak/>
        <w:t xml:space="preserve">Pozzoli, M., Pagani, A., &amp; Paolone, F. (2022). The impact of audit committee characteristics on ESG performance in the European Union member states: Empirical evidence before and during the COVID-19 pandemic. </w:t>
      </w:r>
      <w:r w:rsidRPr="00640D42">
        <w:rPr>
          <w:rFonts w:ascii="Times New Roman" w:hAnsi="Times New Roman" w:cs="Times New Roman"/>
          <w:i/>
          <w:iCs/>
        </w:rPr>
        <w:t>Journal of Cleaner Production, 371</w:t>
      </w:r>
      <w:r w:rsidRPr="00640D42">
        <w:rPr>
          <w:rFonts w:ascii="Times New Roman" w:hAnsi="Times New Roman" w:cs="Times New Roman"/>
        </w:rPr>
        <w:t xml:space="preserve">, Article 133411. </w:t>
      </w:r>
      <w:hyperlink r:id="rId31" w:history="1">
        <w:r w:rsidR="0012554A" w:rsidRPr="00640D42">
          <w:rPr>
            <w:rStyle w:val="Hyperlink"/>
            <w:rFonts w:ascii="Times New Roman" w:hAnsi="Times New Roman" w:cs="Times New Roman"/>
          </w:rPr>
          <w:t>https://doi.org/10.1016/j.jclepro.2022.133411</w:t>
        </w:r>
      </w:hyperlink>
      <w:r w:rsidR="0012554A" w:rsidRPr="00640D42">
        <w:rPr>
          <w:rFonts w:ascii="Times New Roman" w:hAnsi="Times New Roman" w:cs="Times New Roman"/>
        </w:rPr>
        <w:t xml:space="preserve"> </w:t>
      </w:r>
    </w:p>
    <w:p w14:paraId="1BEED706" w14:textId="0E23E296"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Sahu, M., Mishra, A., Alahdal, W. M., &amp; Sami, M. (2025). ESG performance and audit committee expertise: Advancing sustainable development goals in leading nations. </w:t>
      </w:r>
      <w:r w:rsidRPr="00640D42">
        <w:rPr>
          <w:rFonts w:ascii="Times New Roman" w:hAnsi="Times New Roman" w:cs="Times New Roman"/>
          <w:i/>
          <w:iCs/>
        </w:rPr>
        <w:t>International Review of Economics &amp; Finance, 103</w:t>
      </w:r>
      <w:r w:rsidRPr="00640D42">
        <w:rPr>
          <w:rFonts w:ascii="Times New Roman" w:hAnsi="Times New Roman" w:cs="Times New Roman"/>
        </w:rPr>
        <w:t xml:space="preserve">, Article 104445. </w:t>
      </w:r>
      <w:hyperlink r:id="rId32" w:history="1">
        <w:r w:rsidR="0012554A" w:rsidRPr="00640D42">
          <w:rPr>
            <w:rStyle w:val="Hyperlink"/>
            <w:rFonts w:ascii="Times New Roman" w:hAnsi="Times New Roman" w:cs="Times New Roman"/>
          </w:rPr>
          <w:t>https://doi.org/10.1016/j.iref.2025.104445</w:t>
        </w:r>
      </w:hyperlink>
      <w:r w:rsidR="0012554A" w:rsidRPr="00640D42">
        <w:rPr>
          <w:rFonts w:ascii="Times New Roman" w:hAnsi="Times New Roman" w:cs="Times New Roman"/>
        </w:rPr>
        <w:t xml:space="preserve"> </w:t>
      </w:r>
    </w:p>
    <w:p w14:paraId="34BBC6E7" w14:textId="0A2380BF"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Securities and Exchange Commission Nigeria. (2021). </w:t>
      </w:r>
      <w:r w:rsidR="00640D42" w:rsidRPr="00640D42">
        <w:rPr>
          <w:rFonts w:ascii="Times New Roman" w:hAnsi="Times New Roman" w:cs="Times New Roman"/>
          <w:i/>
          <w:iCs/>
        </w:rPr>
        <w:t>Guidelines for sustainable financial principles in the Nigerian capital market.</w:t>
      </w:r>
    </w:p>
    <w:p w14:paraId="22CA5337" w14:textId="60F70890"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Shea, C. M., Jacobs, S. R., Esserman, D. A., Bruce, K., &amp; Weiner, B. J. (2014). Organizational readiness for implementing change: A psychometric assessment of a new measure. </w:t>
      </w:r>
      <w:r w:rsidRPr="00640D42">
        <w:rPr>
          <w:rFonts w:ascii="Times New Roman" w:hAnsi="Times New Roman" w:cs="Times New Roman"/>
          <w:i/>
          <w:iCs/>
        </w:rPr>
        <w:t>Implementation Science, 9</w:t>
      </w:r>
      <w:r w:rsidRPr="00640D42">
        <w:rPr>
          <w:rFonts w:ascii="Times New Roman" w:hAnsi="Times New Roman" w:cs="Times New Roman"/>
        </w:rPr>
        <w:t xml:space="preserve">, Article 7. </w:t>
      </w:r>
      <w:hyperlink r:id="rId33" w:history="1">
        <w:r w:rsidR="0012554A" w:rsidRPr="00640D42">
          <w:rPr>
            <w:rStyle w:val="Hyperlink"/>
            <w:rFonts w:ascii="Times New Roman" w:hAnsi="Times New Roman" w:cs="Times New Roman"/>
          </w:rPr>
          <w:t>https://doi.org/10.1186/1748-5908-9-7</w:t>
        </w:r>
      </w:hyperlink>
      <w:r w:rsidR="0012554A" w:rsidRPr="00640D42">
        <w:rPr>
          <w:rFonts w:ascii="Times New Roman" w:hAnsi="Times New Roman" w:cs="Times New Roman"/>
        </w:rPr>
        <w:t xml:space="preserve"> </w:t>
      </w:r>
    </w:p>
    <w:p w14:paraId="46E72528" w14:textId="58C36D93"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Simnett, R., Vanstraelen, A., &amp; Chua, W. F. (2009). Assurance on sustainability reports: An international comparison. </w:t>
      </w:r>
      <w:r w:rsidRPr="00640D42">
        <w:rPr>
          <w:rFonts w:ascii="Times New Roman" w:hAnsi="Times New Roman" w:cs="Times New Roman"/>
          <w:i/>
          <w:iCs/>
        </w:rPr>
        <w:t>The Accounting Review, 84</w:t>
      </w:r>
      <w:r w:rsidRPr="00640D42">
        <w:rPr>
          <w:rFonts w:ascii="Times New Roman" w:hAnsi="Times New Roman" w:cs="Times New Roman"/>
        </w:rPr>
        <w:t xml:space="preserve">(3), 937-967. </w:t>
      </w:r>
      <w:hyperlink r:id="rId34" w:history="1">
        <w:r w:rsidR="0012554A" w:rsidRPr="00640D42">
          <w:rPr>
            <w:rStyle w:val="Hyperlink"/>
            <w:rFonts w:ascii="Times New Roman" w:hAnsi="Times New Roman" w:cs="Times New Roman"/>
          </w:rPr>
          <w:t>https://doi.org/10.2308/accr.2009.84.3.937</w:t>
        </w:r>
      </w:hyperlink>
      <w:r w:rsidR="0012554A" w:rsidRPr="00640D42">
        <w:rPr>
          <w:rFonts w:ascii="Times New Roman" w:hAnsi="Times New Roman" w:cs="Times New Roman"/>
        </w:rPr>
        <w:t xml:space="preserve"> </w:t>
      </w:r>
    </w:p>
    <w:p w14:paraId="2C894C42" w14:textId="392819B3"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Tumwebaze, Z., Bananuka, J., Kaawaase, T. K., Bonareri, C. T., &amp; Mutesasira, F. (2022). Audit committee effectiveness, internal audit function and sustainability reporting practices. </w:t>
      </w:r>
      <w:r w:rsidRPr="00640D42">
        <w:rPr>
          <w:rFonts w:ascii="Times New Roman" w:hAnsi="Times New Roman" w:cs="Times New Roman"/>
          <w:i/>
          <w:iCs/>
        </w:rPr>
        <w:t>Asian Journal of Accounting Research, 7</w:t>
      </w:r>
      <w:r w:rsidRPr="00640D42">
        <w:rPr>
          <w:rFonts w:ascii="Times New Roman" w:hAnsi="Times New Roman" w:cs="Times New Roman"/>
        </w:rPr>
        <w:t xml:space="preserve">(2), 163-181. </w:t>
      </w:r>
      <w:hyperlink r:id="rId35" w:history="1">
        <w:r w:rsidR="0012554A" w:rsidRPr="00640D42">
          <w:rPr>
            <w:rStyle w:val="Hyperlink"/>
            <w:rFonts w:ascii="Times New Roman" w:hAnsi="Times New Roman" w:cs="Times New Roman"/>
          </w:rPr>
          <w:t>https://doi.org/10.1108/AJAR-03-2021-0036</w:t>
        </w:r>
      </w:hyperlink>
      <w:r w:rsidR="0012554A" w:rsidRPr="00640D42">
        <w:rPr>
          <w:rFonts w:ascii="Times New Roman" w:hAnsi="Times New Roman" w:cs="Times New Roman"/>
        </w:rPr>
        <w:t xml:space="preserve"> </w:t>
      </w:r>
    </w:p>
    <w:p w14:paraId="2A3F3E2B" w14:textId="794CDF8B"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Weiner, B. J. (2009). A theory of organizational readiness for change. </w:t>
      </w:r>
      <w:r w:rsidRPr="00640D42">
        <w:rPr>
          <w:rFonts w:ascii="Times New Roman" w:hAnsi="Times New Roman" w:cs="Times New Roman"/>
          <w:i/>
          <w:iCs/>
        </w:rPr>
        <w:t>Implementation Science, 4</w:t>
      </w:r>
      <w:r w:rsidRPr="00640D42">
        <w:rPr>
          <w:rFonts w:ascii="Times New Roman" w:hAnsi="Times New Roman" w:cs="Times New Roman"/>
        </w:rPr>
        <w:t xml:space="preserve">, Article 67. </w:t>
      </w:r>
      <w:hyperlink r:id="rId36" w:history="1">
        <w:r w:rsidR="0012554A" w:rsidRPr="00640D42">
          <w:rPr>
            <w:rStyle w:val="Hyperlink"/>
            <w:rFonts w:ascii="Times New Roman" w:hAnsi="Times New Roman" w:cs="Times New Roman"/>
          </w:rPr>
          <w:t>https://doi.org/10.1186/1748-5908-4-67</w:t>
        </w:r>
      </w:hyperlink>
      <w:r w:rsidR="0012554A" w:rsidRPr="00640D42">
        <w:rPr>
          <w:rFonts w:ascii="Times New Roman" w:hAnsi="Times New Roman" w:cs="Times New Roman"/>
        </w:rPr>
        <w:t xml:space="preserve"> </w:t>
      </w:r>
    </w:p>
    <w:p w14:paraId="5740C851" w14:textId="41B0D6D1"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Weiner, B. J., Amick, H., &amp; Lee, S.-Y. D. (2008). </w:t>
      </w:r>
      <w:r w:rsidR="00F42DB5" w:rsidRPr="00640D42">
        <w:rPr>
          <w:rFonts w:ascii="Times New Roman" w:hAnsi="Times New Roman" w:cs="Times New Roman"/>
        </w:rPr>
        <w:t>Conceptualisation</w:t>
      </w:r>
      <w:r w:rsidRPr="00640D42">
        <w:rPr>
          <w:rFonts w:ascii="Times New Roman" w:hAnsi="Times New Roman" w:cs="Times New Roman"/>
        </w:rPr>
        <w:t xml:space="preserve"> and measurement of organizational readiness for change: A review of the literature in health services research and other fields. </w:t>
      </w:r>
      <w:r w:rsidRPr="00640D42">
        <w:rPr>
          <w:rFonts w:ascii="Times New Roman" w:hAnsi="Times New Roman" w:cs="Times New Roman"/>
          <w:i/>
          <w:iCs/>
        </w:rPr>
        <w:t>Medical Care Research and Review, 65</w:t>
      </w:r>
      <w:r w:rsidRPr="00640D42">
        <w:rPr>
          <w:rFonts w:ascii="Times New Roman" w:hAnsi="Times New Roman" w:cs="Times New Roman"/>
        </w:rPr>
        <w:t xml:space="preserve">(4), 379-436. </w:t>
      </w:r>
      <w:hyperlink r:id="rId37" w:history="1">
        <w:r w:rsidR="0012554A" w:rsidRPr="00640D42">
          <w:rPr>
            <w:rStyle w:val="Hyperlink"/>
            <w:rFonts w:ascii="Times New Roman" w:hAnsi="Times New Roman" w:cs="Times New Roman"/>
          </w:rPr>
          <w:t>https://doi.org/10.1177/1077558708317802</w:t>
        </w:r>
      </w:hyperlink>
      <w:r w:rsidR="0012554A" w:rsidRPr="00640D42">
        <w:rPr>
          <w:rFonts w:ascii="Times New Roman" w:hAnsi="Times New Roman" w:cs="Times New Roman"/>
        </w:rPr>
        <w:t xml:space="preserve"> </w:t>
      </w:r>
    </w:p>
    <w:p w14:paraId="6B51BD51" w14:textId="1A026F16" w:rsidR="00AA148B" w:rsidRPr="00640D42" w:rsidRDefault="00AA148B" w:rsidP="00AA148B">
      <w:pPr>
        <w:pStyle w:val="BodyText"/>
        <w:spacing w:line="360" w:lineRule="auto"/>
        <w:jc w:val="both"/>
        <w:rPr>
          <w:rFonts w:ascii="Times New Roman" w:hAnsi="Times New Roman" w:cs="Times New Roman"/>
        </w:rPr>
      </w:pPr>
      <w:r w:rsidRPr="00640D42">
        <w:rPr>
          <w:rFonts w:ascii="Times New Roman" w:hAnsi="Times New Roman" w:cs="Times New Roman"/>
        </w:rPr>
        <w:t xml:space="preserve">Yorke, S. M., Donkor, A., &amp; Appiagyei, K. (2023). Experts on boards audit committee and sustainability performance: The role of gender. </w:t>
      </w:r>
      <w:r w:rsidRPr="00640D42">
        <w:rPr>
          <w:rFonts w:ascii="Times New Roman" w:hAnsi="Times New Roman" w:cs="Times New Roman"/>
          <w:i/>
          <w:iCs/>
        </w:rPr>
        <w:t>Journal of Cleaner Production, 414</w:t>
      </w:r>
      <w:r w:rsidRPr="00640D42">
        <w:rPr>
          <w:rFonts w:ascii="Times New Roman" w:hAnsi="Times New Roman" w:cs="Times New Roman"/>
        </w:rPr>
        <w:t xml:space="preserve">, Article 137553. </w:t>
      </w:r>
      <w:hyperlink r:id="rId38" w:history="1">
        <w:r w:rsidR="0012554A" w:rsidRPr="00640D42">
          <w:rPr>
            <w:rStyle w:val="Hyperlink"/>
            <w:rFonts w:ascii="Times New Roman" w:hAnsi="Times New Roman" w:cs="Times New Roman"/>
          </w:rPr>
          <w:t>https://doi.org/10.1016/j.jclepro.2023.137553</w:t>
        </w:r>
      </w:hyperlink>
      <w:r w:rsidR="0012554A" w:rsidRPr="00640D42">
        <w:rPr>
          <w:rFonts w:ascii="Times New Roman" w:hAnsi="Times New Roman" w:cs="Times New Roman"/>
        </w:rPr>
        <w:t xml:space="preserve"> </w:t>
      </w:r>
    </w:p>
    <w:bookmarkEnd w:id="25"/>
    <w:p w14:paraId="58AD3A9E" w14:textId="77777777" w:rsidR="00731B22" w:rsidRPr="00640D42" w:rsidRDefault="00731B22" w:rsidP="00AA148B">
      <w:pPr>
        <w:spacing w:line="360" w:lineRule="auto"/>
        <w:jc w:val="both"/>
        <w:rPr>
          <w:sz w:val="24"/>
          <w:szCs w:val="24"/>
        </w:rPr>
      </w:pPr>
    </w:p>
    <w:sectPr w:rsidR="00731B22" w:rsidRPr="00640D42" w:rsidSect="009B2EEF">
      <w:footerReference w:type="default" r:id="rId39"/>
      <w:pgSz w:w="12240" w:h="15840" w:code="1"/>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6346E" w14:textId="77777777" w:rsidR="00126E3E" w:rsidRDefault="00126E3E" w:rsidP="00706CF3">
      <w:r>
        <w:separator/>
      </w:r>
    </w:p>
  </w:endnote>
  <w:endnote w:type="continuationSeparator" w:id="0">
    <w:p w14:paraId="108D1F13" w14:textId="77777777" w:rsidR="00126E3E" w:rsidRDefault="00126E3E" w:rsidP="00706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663470"/>
      <w:docPartObj>
        <w:docPartGallery w:val="Page Numbers (Bottom of Page)"/>
        <w:docPartUnique/>
      </w:docPartObj>
    </w:sdtPr>
    <w:sdtEndPr>
      <w:rPr>
        <w:noProof/>
      </w:rPr>
    </w:sdtEndPr>
    <w:sdtContent>
      <w:p w14:paraId="270D58C0" w14:textId="77777777" w:rsidR="00706CF3" w:rsidRDefault="00706CF3">
        <w:pPr>
          <w:pStyle w:val="Footer"/>
          <w:jc w:val="center"/>
        </w:pPr>
        <w:r>
          <w:fldChar w:fldCharType="begin"/>
        </w:r>
        <w:r>
          <w:instrText xml:space="preserve"> PAGE   \* MERGEFORMAT </w:instrText>
        </w:r>
        <w:r>
          <w:fldChar w:fldCharType="separate"/>
        </w:r>
        <w:r w:rsidR="007F5274">
          <w:rPr>
            <w:noProof/>
          </w:rPr>
          <w:t>19</w:t>
        </w:r>
        <w:r>
          <w:rPr>
            <w:noProof/>
          </w:rPr>
          <w:fldChar w:fldCharType="end"/>
        </w:r>
      </w:p>
    </w:sdtContent>
  </w:sdt>
  <w:p w14:paraId="46128B27" w14:textId="77777777" w:rsidR="00706CF3" w:rsidRDefault="00706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971F6" w14:textId="77777777" w:rsidR="00126E3E" w:rsidRDefault="00126E3E" w:rsidP="00706CF3">
      <w:r>
        <w:separator/>
      </w:r>
    </w:p>
  </w:footnote>
  <w:footnote w:type="continuationSeparator" w:id="0">
    <w:p w14:paraId="1F22CB40" w14:textId="77777777" w:rsidR="00126E3E" w:rsidRDefault="00126E3E" w:rsidP="00706C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36C45EE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511"/>
    <w:multiLevelType w:val="multilevel"/>
    <w:tmpl w:val="8C8EB444"/>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2" w15:restartNumberingAfterBreak="0">
    <w:nsid w:val="11534E79"/>
    <w:multiLevelType w:val="hybridMultilevel"/>
    <w:tmpl w:val="94AE44DC"/>
    <w:lvl w:ilvl="0" w:tplc="CF6CDA5A">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0A2685"/>
    <w:multiLevelType w:val="hybridMultilevel"/>
    <w:tmpl w:val="F9E2EA90"/>
    <w:lvl w:ilvl="0" w:tplc="3264B69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FE400A"/>
    <w:multiLevelType w:val="hybridMultilevel"/>
    <w:tmpl w:val="E24054AE"/>
    <w:lvl w:ilvl="0" w:tplc="CF6CDA5A">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0A4CF9"/>
    <w:multiLevelType w:val="hybridMultilevel"/>
    <w:tmpl w:val="65EED7C0"/>
    <w:lvl w:ilvl="0" w:tplc="6A2A3E90">
      <w:start w:val="1"/>
      <w:numFmt w:val="bullet"/>
      <w:lvlText w:val="●"/>
      <w:lvlJc w:val="left"/>
      <w:pPr>
        <w:ind w:left="720" w:hanging="360"/>
      </w:pPr>
    </w:lvl>
    <w:lvl w:ilvl="1" w:tplc="8B4667F0">
      <w:start w:val="1"/>
      <w:numFmt w:val="bullet"/>
      <w:lvlText w:val="○"/>
      <w:lvlJc w:val="left"/>
      <w:pPr>
        <w:ind w:left="1440" w:hanging="360"/>
      </w:pPr>
    </w:lvl>
    <w:lvl w:ilvl="2" w:tplc="02C0BAC2">
      <w:start w:val="1"/>
      <w:numFmt w:val="bullet"/>
      <w:lvlText w:val="■"/>
      <w:lvlJc w:val="left"/>
      <w:pPr>
        <w:ind w:left="2160" w:hanging="360"/>
      </w:pPr>
    </w:lvl>
    <w:lvl w:ilvl="3" w:tplc="134A79F2">
      <w:start w:val="1"/>
      <w:numFmt w:val="bullet"/>
      <w:lvlText w:val="●"/>
      <w:lvlJc w:val="left"/>
      <w:pPr>
        <w:ind w:left="2880" w:hanging="360"/>
      </w:pPr>
    </w:lvl>
    <w:lvl w:ilvl="4" w:tplc="CBBED6BE">
      <w:start w:val="1"/>
      <w:numFmt w:val="bullet"/>
      <w:lvlText w:val="○"/>
      <w:lvlJc w:val="left"/>
      <w:pPr>
        <w:ind w:left="3600" w:hanging="360"/>
      </w:pPr>
    </w:lvl>
    <w:lvl w:ilvl="5" w:tplc="ED4E899A">
      <w:start w:val="1"/>
      <w:numFmt w:val="bullet"/>
      <w:lvlText w:val="■"/>
      <w:lvlJc w:val="left"/>
      <w:pPr>
        <w:ind w:left="4320" w:hanging="360"/>
      </w:pPr>
    </w:lvl>
    <w:lvl w:ilvl="6" w:tplc="636CA81E">
      <w:start w:val="1"/>
      <w:numFmt w:val="bullet"/>
      <w:lvlText w:val="●"/>
      <w:lvlJc w:val="left"/>
      <w:pPr>
        <w:ind w:left="5040" w:hanging="360"/>
      </w:pPr>
    </w:lvl>
    <w:lvl w:ilvl="7" w:tplc="15E20858">
      <w:start w:val="1"/>
      <w:numFmt w:val="bullet"/>
      <w:lvlText w:val="●"/>
      <w:lvlJc w:val="left"/>
      <w:pPr>
        <w:ind w:left="5760" w:hanging="360"/>
      </w:pPr>
    </w:lvl>
    <w:lvl w:ilvl="8" w:tplc="8ECCD07A">
      <w:start w:val="1"/>
      <w:numFmt w:val="bullet"/>
      <w:lvlText w:val="●"/>
      <w:lvlJc w:val="left"/>
      <w:pPr>
        <w:ind w:left="6480" w:hanging="360"/>
      </w:pPr>
    </w:lvl>
  </w:abstractNum>
  <w:abstractNum w:abstractNumId="6" w15:restartNumberingAfterBreak="0">
    <w:nsid w:val="35E30978"/>
    <w:multiLevelType w:val="hybridMultilevel"/>
    <w:tmpl w:val="60644B66"/>
    <w:lvl w:ilvl="0" w:tplc="015EBE8A">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BA00DA"/>
    <w:multiLevelType w:val="multilevel"/>
    <w:tmpl w:val="ABD81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1C0BA4"/>
    <w:multiLevelType w:val="hybridMultilevel"/>
    <w:tmpl w:val="951E140E"/>
    <w:lvl w:ilvl="0" w:tplc="CF6CDA5A">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78790A"/>
    <w:multiLevelType w:val="hybridMultilevel"/>
    <w:tmpl w:val="3FB672E2"/>
    <w:lvl w:ilvl="0" w:tplc="CF6CDA5A">
      <w:start w:val="1"/>
      <w:numFmt w:val="lowerRoman"/>
      <w:lvlText w:val="(%1)."/>
      <w:lvlJc w:val="right"/>
      <w:pPr>
        <w:ind w:left="720" w:hanging="360"/>
      </w:pPr>
      <w:rPr>
        <w:rFonts w:hint="default"/>
      </w:rPr>
    </w:lvl>
    <w:lvl w:ilvl="1" w:tplc="CF6CDA5A">
      <w:start w:val="1"/>
      <w:numFmt w:val="lowerRoman"/>
      <w:lvlText w:val="(%2)."/>
      <w:lvlJc w:val="right"/>
      <w:pPr>
        <w:ind w:left="720" w:hanging="360"/>
      </w:pPr>
      <w:rPr>
        <w:rFonts w:hint="default"/>
        <w:sz w:val="24"/>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0C6D48"/>
    <w:multiLevelType w:val="multilevel"/>
    <w:tmpl w:val="8C8EB444"/>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11" w15:restartNumberingAfterBreak="0">
    <w:nsid w:val="7CE5439D"/>
    <w:multiLevelType w:val="hybridMultilevel"/>
    <w:tmpl w:val="7F0428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3053090">
    <w:abstractNumId w:val="5"/>
    <w:lvlOverride w:ilvl="0">
      <w:startOverride w:val="1"/>
    </w:lvlOverride>
  </w:num>
  <w:num w:numId="2" w16cid:durableId="57674774">
    <w:abstractNumId w:val="9"/>
  </w:num>
  <w:num w:numId="3" w16cid:durableId="786235734">
    <w:abstractNumId w:val="6"/>
  </w:num>
  <w:num w:numId="4" w16cid:durableId="327176453">
    <w:abstractNumId w:val="8"/>
  </w:num>
  <w:num w:numId="5" w16cid:durableId="360589446">
    <w:abstractNumId w:val="4"/>
  </w:num>
  <w:num w:numId="6" w16cid:durableId="811749814">
    <w:abstractNumId w:val="5"/>
  </w:num>
  <w:num w:numId="7" w16cid:durableId="2108233807">
    <w:abstractNumId w:val="2"/>
  </w:num>
  <w:num w:numId="8" w16cid:durableId="522326070">
    <w:abstractNumId w:val="3"/>
  </w:num>
  <w:num w:numId="9" w16cid:durableId="1448741468">
    <w:abstractNumId w:val="7"/>
  </w:num>
  <w:num w:numId="10" w16cid:durableId="3844541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03937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4124108">
    <w:abstractNumId w:val="11"/>
  </w:num>
  <w:num w:numId="13" w16cid:durableId="1320229641">
    <w:abstractNumId w:val="0"/>
  </w:num>
  <w:num w:numId="14" w16cid:durableId="11566549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43B"/>
    <w:rsid w:val="000044E4"/>
    <w:rsid w:val="000075EF"/>
    <w:rsid w:val="00007D9F"/>
    <w:rsid w:val="00013E2C"/>
    <w:rsid w:val="000156FB"/>
    <w:rsid w:val="00023B2B"/>
    <w:rsid w:val="00024D11"/>
    <w:rsid w:val="00024E8B"/>
    <w:rsid w:val="000369FA"/>
    <w:rsid w:val="00040E16"/>
    <w:rsid w:val="000503AA"/>
    <w:rsid w:val="00050829"/>
    <w:rsid w:val="00065AA9"/>
    <w:rsid w:val="000731E4"/>
    <w:rsid w:val="00073806"/>
    <w:rsid w:val="00075407"/>
    <w:rsid w:val="00077700"/>
    <w:rsid w:val="000850F8"/>
    <w:rsid w:val="00085C2C"/>
    <w:rsid w:val="00090475"/>
    <w:rsid w:val="00092641"/>
    <w:rsid w:val="0009446F"/>
    <w:rsid w:val="000A4477"/>
    <w:rsid w:val="000A5286"/>
    <w:rsid w:val="000A7709"/>
    <w:rsid w:val="000B3A24"/>
    <w:rsid w:val="000B7C7E"/>
    <w:rsid w:val="000D0DA6"/>
    <w:rsid w:val="000D1977"/>
    <w:rsid w:val="000D2237"/>
    <w:rsid w:val="000D3AE8"/>
    <w:rsid w:val="000D7581"/>
    <w:rsid w:val="000D75BE"/>
    <w:rsid w:val="000E3694"/>
    <w:rsid w:val="000E74CB"/>
    <w:rsid w:val="000F3867"/>
    <w:rsid w:val="000F44C5"/>
    <w:rsid w:val="001056BE"/>
    <w:rsid w:val="001056DE"/>
    <w:rsid w:val="00105CDC"/>
    <w:rsid w:val="0010739B"/>
    <w:rsid w:val="00112E49"/>
    <w:rsid w:val="001135A9"/>
    <w:rsid w:val="00114534"/>
    <w:rsid w:val="0012554A"/>
    <w:rsid w:val="00126E3E"/>
    <w:rsid w:val="00132A9E"/>
    <w:rsid w:val="001363EB"/>
    <w:rsid w:val="00145DEA"/>
    <w:rsid w:val="00147E0E"/>
    <w:rsid w:val="00152460"/>
    <w:rsid w:val="0015590D"/>
    <w:rsid w:val="00155B25"/>
    <w:rsid w:val="00162C5C"/>
    <w:rsid w:val="00162FDB"/>
    <w:rsid w:val="0016373D"/>
    <w:rsid w:val="0016746E"/>
    <w:rsid w:val="00171E0D"/>
    <w:rsid w:val="00175C11"/>
    <w:rsid w:val="001766AB"/>
    <w:rsid w:val="00180DBA"/>
    <w:rsid w:val="00182B03"/>
    <w:rsid w:val="00193956"/>
    <w:rsid w:val="00193FFD"/>
    <w:rsid w:val="00194E4B"/>
    <w:rsid w:val="0019607E"/>
    <w:rsid w:val="001973B8"/>
    <w:rsid w:val="001A0C92"/>
    <w:rsid w:val="001A3DF2"/>
    <w:rsid w:val="001A3F96"/>
    <w:rsid w:val="001A4262"/>
    <w:rsid w:val="001A5CCD"/>
    <w:rsid w:val="001B2C7A"/>
    <w:rsid w:val="001B5AB6"/>
    <w:rsid w:val="001C1065"/>
    <w:rsid w:val="001C6A06"/>
    <w:rsid w:val="001D0301"/>
    <w:rsid w:val="001D1C27"/>
    <w:rsid w:val="001D4258"/>
    <w:rsid w:val="001D49D6"/>
    <w:rsid w:val="001D5091"/>
    <w:rsid w:val="001D659C"/>
    <w:rsid w:val="001E256C"/>
    <w:rsid w:val="001E4426"/>
    <w:rsid w:val="001F260C"/>
    <w:rsid w:val="001F4A01"/>
    <w:rsid w:val="001F6041"/>
    <w:rsid w:val="001F70DD"/>
    <w:rsid w:val="00200768"/>
    <w:rsid w:val="00201320"/>
    <w:rsid w:val="00203EF8"/>
    <w:rsid w:val="00206A8A"/>
    <w:rsid w:val="0021159A"/>
    <w:rsid w:val="00221370"/>
    <w:rsid w:val="00227FD8"/>
    <w:rsid w:val="00231E62"/>
    <w:rsid w:val="00232849"/>
    <w:rsid w:val="00236C48"/>
    <w:rsid w:val="00245504"/>
    <w:rsid w:val="00251189"/>
    <w:rsid w:val="002521A6"/>
    <w:rsid w:val="00256676"/>
    <w:rsid w:val="002632DB"/>
    <w:rsid w:val="00263FE8"/>
    <w:rsid w:val="00266747"/>
    <w:rsid w:val="002668FA"/>
    <w:rsid w:val="00271F6C"/>
    <w:rsid w:val="00274F18"/>
    <w:rsid w:val="002753A7"/>
    <w:rsid w:val="00284DFA"/>
    <w:rsid w:val="00292BE8"/>
    <w:rsid w:val="002958CF"/>
    <w:rsid w:val="00296C61"/>
    <w:rsid w:val="002A2FAE"/>
    <w:rsid w:val="002A3DA1"/>
    <w:rsid w:val="002A6649"/>
    <w:rsid w:val="002B5DEE"/>
    <w:rsid w:val="002C29F6"/>
    <w:rsid w:val="002C30DB"/>
    <w:rsid w:val="002C66E7"/>
    <w:rsid w:val="002D779D"/>
    <w:rsid w:val="002E035A"/>
    <w:rsid w:val="002E3C36"/>
    <w:rsid w:val="002E64CC"/>
    <w:rsid w:val="002F09D9"/>
    <w:rsid w:val="002F289F"/>
    <w:rsid w:val="00300B7F"/>
    <w:rsid w:val="0030214E"/>
    <w:rsid w:val="0030266C"/>
    <w:rsid w:val="00304FEF"/>
    <w:rsid w:val="00307C07"/>
    <w:rsid w:val="003259CF"/>
    <w:rsid w:val="003307F8"/>
    <w:rsid w:val="0034259A"/>
    <w:rsid w:val="003724B7"/>
    <w:rsid w:val="003813B2"/>
    <w:rsid w:val="00382EB2"/>
    <w:rsid w:val="00385DBF"/>
    <w:rsid w:val="00386208"/>
    <w:rsid w:val="003872AE"/>
    <w:rsid w:val="0039336E"/>
    <w:rsid w:val="00393627"/>
    <w:rsid w:val="003A018F"/>
    <w:rsid w:val="003A47E3"/>
    <w:rsid w:val="003A5EA6"/>
    <w:rsid w:val="003B4D07"/>
    <w:rsid w:val="003B54D5"/>
    <w:rsid w:val="003C005A"/>
    <w:rsid w:val="003C06AD"/>
    <w:rsid w:val="003C68C9"/>
    <w:rsid w:val="003D23FB"/>
    <w:rsid w:val="003D24D6"/>
    <w:rsid w:val="003D60EE"/>
    <w:rsid w:val="003E4D37"/>
    <w:rsid w:val="003F5870"/>
    <w:rsid w:val="00400D18"/>
    <w:rsid w:val="004113AC"/>
    <w:rsid w:val="00412018"/>
    <w:rsid w:val="00413EA5"/>
    <w:rsid w:val="00416964"/>
    <w:rsid w:val="00420805"/>
    <w:rsid w:val="00420F51"/>
    <w:rsid w:val="00423DB9"/>
    <w:rsid w:val="0044667B"/>
    <w:rsid w:val="00446F3C"/>
    <w:rsid w:val="004540E8"/>
    <w:rsid w:val="004570B0"/>
    <w:rsid w:val="0047451F"/>
    <w:rsid w:val="00476535"/>
    <w:rsid w:val="004810B6"/>
    <w:rsid w:val="00481804"/>
    <w:rsid w:val="00482125"/>
    <w:rsid w:val="004A37A9"/>
    <w:rsid w:val="004A60A3"/>
    <w:rsid w:val="004B677F"/>
    <w:rsid w:val="004C0CD7"/>
    <w:rsid w:val="004C2F22"/>
    <w:rsid w:val="004E0A38"/>
    <w:rsid w:val="004E164B"/>
    <w:rsid w:val="004E563B"/>
    <w:rsid w:val="004E5B8A"/>
    <w:rsid w:val="004E735B"/>
    <w:rsid w:val="004F2713"/>
    <w:rsid w:val="004F3F32"/>
    <w:rsid w:val="004F6C3F"/>
    <w:rsid w:val="004F6F1E"/>
    <w:rsid w:val="004F7044"/>
    <w:rsid w:val="004F743B"/>
    <w:rsid w:val="004F7B35"/>
    <w:rsid w:val="00510734"/>
    <w:rsid w:val="005108F2"/>
    <w:rsid w:val="00512611"/>
    <w:rsid w:val="00533833"/>
    <w:rsid w:val="00545A9E"/>
    <w:rsid w:val="005467AE"/>
    <w:rsid w:val="0054707A"/>
    <w:rsid w:val="0055647E"/>
    <w:rsid w:val="00560F98"/>
    <w:rsid w:val="00561991"/>
    <w:rsid w:val="00562997"/>
    <w:rsid w:val="00563DFE"/>
    <w:rsid w:val="00565516"/>
    <w:rsid w:val="00565560"/>
    <w:rsid w:val="0056680D"/>
    <w:rsid w:val="0056770C"/>
    <w:rsid w:val="00570E17"/>
    <w:rsid w:val="00571C08"/>
    <w:rsid w:val="00572BAC"/>
    <w:rsid w:val="00575A18"/>
    <w:rsid w:val="00577309"/>
    <w:rsid w:val="00580A97"/>
    <w:rsid w:val="00586CB2"/>
    <w:rsid w:val="0059372B"/>
    <w:rsid w:val="005A0F9F"/>
    <w:rsid w:val="005A6134"/>
    <w:rsid w:val="005B4ED7"/>
    <w:rsid w:val="005B66F4"/>
    <w:rsid w:val="005C7C4B"/>
    <w:rsid w:val="005D047D"/>
    <w:rsid w:val="005D3C53"/>
    <w:rsid w:val="005D5760"/>
    <w:rsid w:val="005D6C07"/>
    <w:rsid w:val="005D7535"/>
    <w:rsid w:val="005E0ED7"/>
    <w:rsid w:val="005E75A0"/>
    <w:rsid w:val="005F1C97"/>
    <w:rsid w:val="00601C99"/>
    <w:rsid w:val="00605B75"/>
    <w:rsid w:val="00611780"/>
    <w:rsid w:val="006127C2"/>
    <w:rsid w:val="006131B5"/>
    <w:rsid w:val="00614527"/>
    <w:rsid w:val="006205B1"/>
    <w:rsid w:val="006216EE"/>
    <w:rsid w:val="00621F3E"/>
    <w:rsid w:val="00623F87"/>
    <w:rsid w:val="00626105"/>
    <w:rsid w:val="006302B4"/>
    <w:rsid w:val="00630803"/>
    <w:rsid w:val="0063637A"/>
    <w:rsid w:val="00640220"/>
    <w:rsid w:val="00640D42"/>
    <w:rsid w:val="00651BC7"/>
    <w:rsid w:val="006572A3"/>
    <w:rsid w:val="00666EFD"/>
    <w:rsid w:val="006700E8"/>
    <w:rsid w:val="00672905"/>
    <w:rsid w:val="0067403F"/>
    <w:rsid w:val="00684D8C"/>
    <w:rsid w:val="00685C68"/>
    <w:rsid w:val="00695FD1"/>
    <w:rsid w:val="00697612"/>
    <w:rsid w:val="006A0CE2"/>
    <w:rsid w:val="006A0F46"/>
    <w:rsid w:val="006B5D7D"/>
    <w:rsid w:val="006B6506"/>
    <w:rsid w:val="006C0774"/>
    <w:rsid w:val="006C13F7"/>
    <w:rsid w:val="006C2DA9"/>
    <w:rsid w:val="006C401F"/>
    <w:rsid w:val="006C476C"/>
    <w:rsid w:val="006D0A23"/>
    <w:rsid w:val="006D1D0B"/>
    <w:rsid w:val="006D24DF"/>
    <w:rsid w:val="006E0805"/>
    <w:rsid w:val="006E2039"/>
    <w:rsid w:val="006E28AB"/>
    <w:rsid w:val="006E2E5F"/>
    <w:rsid w:val="006E62A1"/>
    <w:rsid w:val="006E7C0B"/>
    <w:rsid w:val="006F2177"/>
    <w:rsid w:val="006F26E0"/>
    <w:rsid w:val="007029EF"/>
    <w:rsid w:val="0070411D"/>
    <w:rsid w:val="00704AAE"/>
    <w:rsid w:val="00705AC9"/>
    <w:rsid w:val="00706CF3"/>
    <w:rsid w:val="00707216"/>
    <w:rsid w:val="00707BD5"/>
    <w:rsid w:val="007110CC"/>
    <w:rsid w:val="007111C8"/>
    <w:rsid w:val="007114CE"/>
    <w:rsid w:val="00716618"/>
    <w:rsid w:val="00721333"/>
    <w:rsid w:val="0072602F"/>
    <w:rsid w:val="00731B22"/>
    <w:rsid w:val="007348F0"/>
    <w:rsid w:val="007379D3"/>
    <w:rsid w:val="007417CA"/>
    <w:rsid w:val="00742012"/>
    <w:rsid w:val="00745C18"/>
    <w:rsid w:val="00745CF1"/>
    <w:rsid w:val="00746F3D"/>
    <w:rsid w:val="0074718E"/>
    <w:rsid w:val="00750D30"/>
    <w:rsid w:val="00755F20"/>
    <w:rsid w:val="00757452"/>
    <w:rsid w:val="007656ED"/>
    <w:rsid w:val="007724A0"/>
    <w:rsid w:val="007731D8"/>
    <w:rsid w:val="00773813"/>
    <w:rsid w:val="007742A7"/>
    <w:rsid w:val="007823DA"/>
    <w:rsid w:val="00790223"/>
    <w:rsid w:val="00791F2A"/>
    <w:rsid w:val="007939CF"/>
    <w:rsid w:val="007A2EC0"/>
    <w:rsid w:val="007A5832"/>
    <w:rsid w:val="007B0CDF"/>
    <w:rsid w:val="007B0E9F"/>
    <w:rsid w:val="007B1E6C"/>
    <w:rsid w:val="007C26B3"/>
    <w:rsid w:val="007D39A1"/>
    <w:rsid w:val="007D48F9"/>
    <w:rsid w:val="007D6C87"/>
    <w:rsid w:val="007E1230"/>
    <w:rsid w:val="007E4189"/>
    <w:rsid w:val="007E5640"/>
    <w:rsid w:val="007E5AA6"/>
    <w:rsid w:val="007F3215"/>
    <w:rsid w:val="007F354E"/>
    <w:rsid w:val="007F3EC4"/>
    <w:rsid w:val="007F4FDF"/>
    <w:rsid w:val="007F5274"/>
    <w:rsid w:val="00810DB3"/>
    <w:rsid w:val="00811A2A"/>
    <w:rsid w:val="00824B71"/>
    <w:rsid w:val="00835186"/>
    <w:rsid w:val="00835280"/>
    <w:rsid w:val="00842F97"/>
    <w:rsid w:val="00843857"/>
    <w:rsid w:val="008512D2"/>
    <w:rsid w:val="00851B1D"/>
    <w:rsid w:val="00851BF7"/>
    <w:rsid w:val="00860068"/>
    <w:rsid w:val="00860FB4"/>
    <w:rsid w:val="00866352"/>
    <w:rsid w:val="00867072"/>
    <w:rsid w:val="0086760F"/>
    <w:rsid w:val="0087044F"/>
    <w:rsid w:val="00870CAE"/>
    <w:rsid w:val="0087633B"/>
    <w:rsid w:val="00881498"/>
    <w:rsid w:val="00892906"/>
    <w:rsid w:val="00893673"/>
    <w:rsid w:val="008B04EF"/>
    <w:rsid w:val="008B4B42"/>
    <w:rsid w:val="008B688A"/>
    <w:rsid w:val="008B7472"/>
    <w:rsid w:val="008C28F3"/>
    <w:rsid w:val="008C2B1D"/>
    <w:rsid w:val="008C381E"/>
    <w:rsid w:val="008C63CF"/>
    <w:rsid w:val="008D00B1"/>
    <w:rsid w:val="008D16D8"/>
    <w:rsid w:val="008D2964"/>
    <w:rsid w:val="008E0ECB"/>
    <w:rsid w:val="008E1A8B"/>
    <w:rsid w:val="008E1E3A"/>
    <w:rsid w:val="008E1E7D"/>
    <w:rsid w:val="008E276F"/>
    <w:rsid w:val="008E2FAB"/>
    <w:rsid w:val="008F25B1"/>
    <w:rsid w:val="0090327D"/>
    <w:rsid w:val="00904773"/>
    <w:rsid w:val="00907287"/>
    <w:rsid w:val="00917601"/>
    <w:rsid w:val="00917D84"/>
    <w:rsid w:val="00944853"/>
    <w:rsid w:val="009476D5"/>
    <w:rsid w:val="00953DD5"/>
    <w:rsid w:val="00955F1B"/>
    <w:rsid w:val="009640E0"/>
    <w:rsid w:val="00964D4D"/>
    <w:rsid w:val="0097275C"/>
    <w:rsid w:val="009777C5"/>
    <w:rsid w:val="00977BF1"/>
    <w:rsid w:val="009859AC"/>
    <w:rsid w:val="0099284D"/>
    <w:rsid w:val="009A1A5F"/>
    <w:rsid w:val="009A7A24"/>
    <w:rsid w:val="009B0504"/>
    <w:rsid w:val="009B2EEF"/>
    <w:rsid w:val="009B6388"/>
    <w:rsid w:val="009B70B3"/>
    <w:rsid w:val="009C575B"/>
    <w:rsid w:val="009D02E0"/>
    <w:rsid w:val="009D6E2E"/>
    <w:rsid w:val="009D7AC6"/>
    <w:rsid w:val="009E2381"/>
    <w:rsid w:val="009F148E"/>
    <w:rsid w:val="009F2C8E"/>
    <w:rsid w:val="009F49AB"/>
    <w:rsid w:val="00A01FA8"/>
    <w:rsid w:val="00A06708"/>
    <w:rsid w:val="00A115C3"/>
    <w:rsid w:val="00A11C48"/>
    <w:rsid w:val="00A15BA8"/>
    <w:rsid w:val="00A17F6E"/>
    <w:rsid w:val="00A20BC0"/>
    <w:rsid w:val="00A23F72"/>
    <w:rsid w:val="00A30AD1"/>
    <w:rsid w:val="00A31A43"/>
    <w:rsid w:val="00A3298B"/>
    <w:rsid w:val="00A4084A"/>
    <w:rsid w:val="00A46930"/>
    <w:rsid w:val="00A53F85"/>
    <w:rsid w:val="00A56E07"/>
    <w:rsid w:val="00A60FAD"/>
    <w:rsid w:val="00A63444"/>
    <w:rsid w:val="00A648A5"/>
    <w:rsid w:val="00A65533"/>
    <w:rsid w:val="00A67EB8"/>
    <w:rsid w:val="00A72CB3"/>
    <w:rsid w:val="00A73198"/>
    <w:rsid w:val="00A742BF"/>
    <w:rsid w:val="00A87EA0"/>
    <w:rsid w:val="00A916FB"/>
    <w:rsid w:val="00A93DAF"/>
    <w:rsid w:val="00A96183"/>
    <w:rsid w:val="00AA148B"/>
    <w:rsid w:val="00AA7477"/>
    <w:rsid w:val="00AA749C"/>
    <w:rsid w:val="00AB09F9"/>
    <w:rsid w:val="00AB24E7"/>
    <w:rsid w:val="00AB3A19"/>
    <w:rsid w:val="00AB411D"/>
    <w:rsid w:val="00AC2DFE"/>
    <w:rsid w:val="00AD38DE"/>
    <w:rsid w:val="00AD629F"/>
    <w:rsid w:val="00AE058C"/>
    <w:rsid w:val="00AE0F8B"/>
    <w:rsid w:val="00AE7885"/>
    <w:rsid w:val="00AF064D"/>
    <w:rsid w:val="00B003F3"/>
    <w:rsid w:val="00B064D8"/>
    <w:rsid w:val="00B077BB"/>
    <w:rsid w:val="00B128C1"/>
    <w:rsid w:val="00B12D9B"/>
    <w:rsid w:val="00B20D8C"/>
    <w:rsid w:val="00B20E1C"/>
    <w:rsid w:val="00B24FCF"/>
    <w:rsid w:val="00B260F6"/>
    <w:rsid w:val="00B30626"/>
    <w:rsid w:val="00B32089"/>
    <w:rsid w:val="00B35304"/>
    <w:rsid w:val="00B44EA6"/>
    <w:rsid w:val="00B6148F"/>
    <w:rsid w:val="00B62417"/>
    <w:rsid w:val="00B7490F"/>
    <w:rsid w:val="00B758E1"/>
    <w:rsid w:val="00B76206"/>
    <w:rsid w:val="00B762C2"/>
    <w:rsid w:val="00B778BC"/>
    <w:rsid w:val="00B77D52"/>
    <w:rsid w:val="00B8239F"/>
    <w:rsid w:val="00BA5F5F"/>
    <w:rsid w:val="00BB2F00"/>
    <w:rsid w:val="00BB5D60"/>
    <w:rsid w:val="00BC2D50"/>
    <w:rsid w:val="00BC3DE6"/>
    <w:rsid w:val="00BC64ED"/>
    <w:rsid w:val="00BC7604"/>
    <w:rsid w:val="00BD1B96"/>
    <w:rsid w:val="00BD4F4D"/>
    <w:rsid w:val="00BD6A50"/>
    <w:rsid w:val="00BE12C2"/>
    <w:rsid w:val="00BE1EF2"/>
    <w:rsid w:val="00BE29A7"/>
    <w:rsid w:val="00BF3495"/>
    <w:rsid w:val="00BF66C6"/>
    <w:rsid w:val="00BF6F43"/>
    <w:rsid w:val="00C035BF"/>
    <w:rsid w:val="00C040CD"/>
    <w:rsid w:val="00C11FCF"/>
    <w:rsid w:val="00C434A0"/>
    <w:rsid w:val="00C52892"/>
    <w:rsid w:val="00C54F48"/>
    <w:rsid w:val="00C6039C"/>
    <w:rsid w:val="00C60DD6"/>
    <w:rsid w:val="00C6334B"/>
    <w:rsid w:val="00C66C3B"/>
    <w:rsid w:val="00C74C4C"/>
    <w:rsid w:val="00C8651B"/>
    <w:rsid w:val="00C94629"/>
    <w:rsid w:val="00C96D0B"/>
    <w:rsid w:val="00CA0958"/>
    <w:rsid w:val="00CA16FC"/>
    <w:rsid w:val="00CA3481"/>
    <w:rsid w:val="00CA590E"/>
    <w:rsid w:val="00CB73CF"/>
    <w:rsid w:val="00CB7FB2"/>
    <w:rsid w:val="00CC04CB"/>
    <w:rsid w:val="00CC41F1"/>
    <w:rsid w:val="00CC7FEB"/>
    <w:rsid w:val="00CE1863"/>
    <w:rsid w:val="00CE66DD"/>
    <w:rsid w:val="00CE68E3"/>
    <w:rsid w:val="00CF13BE"/>
    <w:rsid w:val="00CF56E3"/>
    <w:rsid w:val="00CF6257"/>
    <w:rsid w:val="00D017FE"/>
    <w:rsid w:val="00D163F6"/>
    <w:rsid w:val="00D205BC"/>
    <w:rsid w:val="00D329F8"/>
    <w:rsid w:val="00D34B6E"/>
    <w:rsid w:val="00D36EAE"/>
    <w:rsid w:val="00D41A9B"/>
    <w:rsid w:val="00D421F6"/>
    <w:rsid w:val="00D442AE"/>
    <w:rsid w:val="00D501F3"/>
    <w:rsid w:val="00D540A8"/>
    <w:rsid w:val="00D56D31"/>
    <w:rsid w:val="00D61351"/>
    <w:rsid w:val="00D61C97"/>
    <w:rsid w:val="00D62ABC"/>
    <w:rsid w:val="00D6300D"/>
    <w:rsid w:val="00D632DA"/>
    <w:rsid w:val="00D644E1"/>
    <w:rsid w:val="00D72963"/>
    <w:rsid w:val="00D81118"/>
    <w:rsid w:val="00D8193E"/>
    <w:rsid w:val="00D8366D"/>
    <w:rsid w:val="00D873A9"/>
    <w:rsid w:val="00D9015A"/>
    <w:rsid w:val="00D949FF"/>
    <w:rsid w:val="00D951B8"/>
    <w:rsid w:val="00D97578"/>
    <w:rsid w:val="00DA1630"/>
    <w:rsid w:val="00DA22B7"/>
    <w:rsid w:val="00DA7526"/>
    <w:rsid w:val="00DB4AD3"/>
    <w:rsid w:val="00DC6540"/>
    <w:rsid w:val="00DC7625"/>
    <w:rsid w:val="00DD0C15"/>
    <w:rsid w:val="00DD2465"/>
    <w:rsid w:val="00DD4FA0"/>
    <w:rsid w:val="00DD7D6E"/>
    <w:rsid w:val="00DE0DCE"/>
    <w:rsid w:val="00DE61D5"/>
    <w:rsid w:val="00DE6520"/>
    <w:rsid w:val="00DF3C03"/>
    <w:rsid w:val="00E00349"/>
    <w:rsid w:val="00E04EFE"/>
    <w:rsid w:val="00E11D05"/>
    <w:rsid w:val="00E12602"/>
    <w:rsid w:val="00E179E3"/>
    <w:rsid w:val="00E21DC0"/>
    <w:rsid w:val="00E26BCD"/>
    <w:rsid w:val="00E2789C"/>
    <w:rsid w:val="00E31613"/>
    <w:rsid w:val="00E33DB9"/>
    <w:rsid w:val="00E35D84"/>
    <w:rsid w:val="00E40743"/>
    <w:rsid w:val="00E42D4D"/>
    <w:rsid w:val="00E4434A"/>
    <w:rsid w:val="00E47002"/>
    <w:rsid w:val="00E5229E"/>
    <w:rsid w:val="00E63734"/>
    <w:rsid w:val="00E71F22"/>
    <w:rsid w:val="00E73753"/>
    <w:rsid w:val="00E9152A"/>
    <w:rsid w:val="00E92544"/>
    <w:rsid w:val="00E9713F"/>
    <w:rsid w:val="00EA43D3"/>
    <w:rsid w:val="00EC6008"/>
    <w:rsid w:val="00EC6EE3"/>
    <w:rsid w:val="00ED0CA1"/>
    <w:rsid w:val="00ED4387"/>
    <w:rsid w:val="00EE1358"/>
    <w:rsid w:val="00EE223D"/>
    <w:rsid w:val="00EE5846"/>
    <w:rsid w:val="00EF031C"/>
    <w:rsid w:val="00EF6EAA"/>
    <w:rsid w:val="00F10B8A"/>
    <w:rsid w:val="00F1321C"/>
    <w:rsid w:val="00F14FD8"/>
    <w:rsid w:val="00F157B3"/>
    <w:rsid w:val="00F15B8F"/>
    <w:rsid w:val="00F21695"/>
    <w:rsid w:val="00F22FD9"/>
    <w:rsid w:val="00F2323F"/>
    <w:rsid w:val="00F42DB5"/>
    <w:rsid w:val="00F46653"/>
    <w:rsid w:val="00F5067D"/>
    <w:rsid w:val="00F51D20"/>
    <w:rsid w:val="00F539F5"/>
    <w:rsid w:val="00F63CC2"/>
    <w:rsid w:val="00F66FB9"/>
    <w:rsid w:val="00F70612"/>
    <w:rsid w:val="00F70CA2"/>
    <w:rsid w:val="00F71F43"/>
    <w:rsid w:val="00F7670F"/>
    <w:rsid w:val="00F85EC1"/>
    <w:rsid w:val="00F926D6"/>
    <w:rsid w:val="00F96283"/>
    <w:rsid w:val="00FA08D1"/>
    <w:rsid w:val="00FB1702"/>
    <w:rsid w:val="00FB197B"/>
    <w:rsid w:val="00FB4D64"/>
    <w:rsid w:val="00FB4EE2"/>
    <w:rsid w:val="00FC0B62"/>
    <w:rsid w:val="00FC5034"/>
    <w:rsid w:val="00FD01F9"/>
    <w:rsid w:val="00FD0C0C"/>
    <w:rsid w:val="00FD69C5"/>
    <w:rsid w:val="00FD6BD3"/>
    <w:rsid w:val="00FE0041"/>
    <w:rsid w:val="00FE1494"/>
    <w:rsid w:val="00FE70CE"/>
    <w:rsid w:val="00FF6563"/>
    <w:rsid w:val="00FF6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CEC5A"/>
  <w15:docId w15:val="{AE6C2682-8477-4FC7-BFBC-CCC14E648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BF6F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F43"/>
    <w:rPr>
      <w:rFonts w:ascii="Segoe UI" w:hAnsi="Segoe UI" w:cs="Segoe UI"/>
      <w:sz w:val="18"/>
      <w:szCs w:val="18"/>
    </w:rPr>
  </w:style>
  <w:style w:type="paragraph" w:styleId="Header">
    <w:name w:val="header"/>
    <w:basedOn w:val="Normal"/>
    <w:link w:val="HeaderChar"/>
    <w:uiPriority w:val="99"/>
    <w:unhideWhenUsed/>
    <w:rsid w:val="00706CF3"/>
    <w:pPr>
      <w:tabs>
        <w:tab w:val="center" w:pos="4513"/>
        <w:tab w:val="right" w:pos="9026"/>
      </w:tabs>
    </w:pPr>
  </w:style>
  <w:style w:type="character" w:customStyle="1" w:styleId="HeaderChar">
    <w:name w:val="Header Char"/>
    <w:basedOn w:val="DefaultParagraphFont"/>
    <w:link w:val="Header"/>
    <w:uiPriority w:val="99"/>
    <w:rsid w:val="00706CF3"/>
  </w:style>
  <w:style w:type="paragraph" w:styleId="Footer">
    <w:name w:val="footer"/>
    <w:basedOn w:val="Normal"/>
    <w:link w:val="FooterChar"/>
    <w:uiPriority w:val="99"/>
    <w:unhideWhenUsed/>
    <w:rsid w:val="00706CF3"/>
    <w:pPr>
      <w:tabs>
        <w:tab w:val="center" w:pos="4513"/>
        <w:tab w:val="right" w:pos="9026"/>
      </w:tabs>
    </w:pPr>
  </w:style>
  <w:style w:type="character" w:customStyle="1" w:styleId="FooterChar">
    <w:name w:val="Footer Char"/>
    <w:basedOn w:val="DefaultParagraphFont"/>
    <w:link w:val="Footer"/>
    <w:uiPriority w:val="99"/>
    <w:rsid w:val="00706CF3"/>
  </w:style>
  <w:style w:type="paragraph" w:customStyle="1" w:styleId="pdq2pgselectionanchorcontainer">
    <w:name w:val="pdq2pg_selectionanchorcontainer"/>
    <w:basedOn w:val="Normal"/>
    <w:rsid w:val="00C60DD6"/>
    <w:pPr>
      <w:spacing w:before="100" w:beforeAutospacing="1" w:after="100" w:afterAutospacing="1"/>
    </w:pPr>
    <w:rPr>
      <w:sz w:val="24"/>
      <w:szCs w:val="24"/>
    </w:rPr>
  </w:style>
  <w:style w:type="character" w:styleId="Strong">
    <w:name w:val="Strong"/>
    <w:basedOn w:val="DefaultParagraphFont"/>
    <w:uiPriority w:val="22"/>
    <w:qFormat/>
    <w:rsid w:val="00C60DD6"/>
    <w:rPr>
      <w:b/>
      <w:bCs/>
    </w:rPr>
  </w:style>
  <w:style w:type="paragraph" w:styleId="NormalWeb">
    <w:name w:val="Normal (Web)"/>
    <w:basedOn w:val="Normal"/>
    <w:uiPriority w:val="99"/>
    <w:semiHidden/>
    <w:unhideWhenUsed/>
    <w:rsid w:val="00C60DD6"/>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6C0774"/>
    <w:rPr>
      <w:color w:val="605E5C"/>
      <w:shd w:val="clear" w:color="auto" w:fill="E1DFDD"/>
    </w:rPr>
  </w:style>
  <w:style w:type="paragraph" w:customStyle="1" w:styleId="Title2">
    <w:name w:val="Title 2"/>
    <w:basedOn w:val="Normal"/>
    <w:uiPriority w:val="1"/>
    <w:qFormat/>
    <w:rsid w:val="006C0774"/>
    <w:pPr>
      <w:spacing w:line="480" w:lineRule="auto"/>
      <w:jc w:val="center"/>
    </w:pPr>
    <w:rPr>
      <w:rFonts w:asciiTheme="minorHAnsi" w:eastAsiaTheme="minorEastAsia" w:hAnsiTheme="minorHAnsi" w:cstheme="minorBidi"/>
      <w:color w:val="000000" w:themeColor="text1"/>
      <w:sz w:val="24"/>
      <w:szCs w:val="24"/>
      <w:lang w:eastAsia="ja-JP"/>
    </w:rPr>
  </w:style>
  <w:style w:type="paragraph" w:styleId="BodyText">
    <w:name w:val="Body Text"/>
    <w:basedOn w:val="Normal"/>
    <w:link w:val="BodyTextChar"/>
    <w:qFormat/>
    <w:rsid w:val="00716618"/>
    <w:pPr>
      <w:spacing w:before="180" w:after="180"/>
    </w:pPr>
    <w:rPr>
      <w:rFonts w:asciiTheme="minorHAnsi" w:eastAsiaTheme="minorHAnsi" w:hAnsiTheme="minorHAnsi" w:cstheme="minorBidi"/>
      <w:sz w:val="24"/>
      <w:szCs w:val="24"/>
      <w:lang w:val="en-US" w:eastAsia="en-US"/>
    </w:rPr>
  </w:style>
  <w:style w:type="character" w:customStyle="1" w:styleId="BodyTextChar">
    <w:name w:val="Body Text Char"/>
    <w:basedOn w:val="DefaultParagraphFont"/>
    <w:link w:val="BodyText"/>
    <w:rsid w:val="00716618"/>
    <w:rPr>
      <w:rFonts w:asciiTheme="minorHAnsi" w:eastAsiaTheme="minorHAnsi" w:hAnsiTheme="minorHAnsi" w:cstheme="minorBidi"/>
      <w:sz w:val="24"/>
      <w:szCs w:val="24"/>
      <w:lang w:val="en-US" w:eastAsia="en-US"/>
    </w:rPr>
  </w:style>
  <w:style w:type="paragraph" w:customStyle="1" w:styleId="FirstParagraph">
    <w:name w:val="First Paragraph"/>
    <w:basedOn w:val="BodyText"/>
    <w:next w:val="BodyText"/>
    <w:qFormat/>
    <w:rsid w:val="00716618"/>
  </w:style>
  <w:style w:type="paragraph" w:customStyle="1" w:styleId="Compact">
    <w:name w:val="Compact"/>
    <w:basedOn w:val="BodyText"/>
    <w:qFormat/>
    <w:rsid w:val="00716618"/>
    <w:pPr>
      <w:spacing w:before="36" w:after="36"/>
    </w:pPr>
  </w:style>
  <w:style w:type="paragraph" w:styleId="BlockText">
    <w:name w:val="Block Text"/>
    <w:basedOn w:val="BodyText"/>
    <w:next w:val="BodyText"/>
    <w:uiPriority w:val="9"/>
    <w:unhideWhenUsed/>
    <w:qFormat/>
    <w:rsid w:val="00F539F5"/>
    <w:pPr>
      <w:spacing w:before="100" w:after="100"/>
      <w:ind w:left="480" w:right="480"/>
    </w:pPr>
  </w:style>
  <w:style w:type="table" w:customStyle="1" w:styleId="Table">
    <w:name w:val="Table"/>
    <w:semiHidden/>
    <w:unhideWhenUsed/>
    <w:qFormat/>
    <w:rsid w:val="00640220"/>
    <w:pPr>
      <w:spacing w:after="200"/>
    </w:pPr>
    <w:rPr>
      <w:rFonts w:ascii="Cambria" w:eastAsia="Cambria" w:hAnsi="Cambria"/>
      <w:sz w:val="24"/>
      <w:szCs w:val="24"/>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styleId="PlaceholderText">
    <w:name w:val="Placeholder Text"/>
    <w:basedOn w:val="DefaultParagraphFont"/>
    <w:uiPriority w:val="99"/>
    <w:semiHidden/>
    <w:rsid w:val="008F25B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398733">
      <w:bodyDiv w:val="1"/>
      <w:marLeft w:val="0"/>
      <w:marRight w:val="0"/>
      <w:marTop w:val="0"/>
      <w:marBottom w:val="0"/>
      <w:divBdr>
        <w:top w:val="none" w:sz="0" w:space="0" w:color="auto"/>
        <w:left w:val="none" w:sz="0" w:space="0" w:color="auto"/>
        <w:bottom w:val="none" w:sz="0" w:space="0" w:color="auto"/>
        <w:right w:val="none" w:sz="0" w:space="0" w:color="auto"/>
      </w:divBdr>
      <w:divsChild>
        <w:div w:id="1689139802">
          <w:marLeft w:val="0"/>
          <w:marRight w:val="0"/>
          <w:marTop w:val="0"/>
          <w:marBottom w:val="0"/>
          <w:divBdr>
            <w:top w:val="none" w:sz="0" w:space="0" w:color="auto"/>
            <w:left w:val="none" w:sz="0" w:space="0" w:color="auto"/>
            <w:bottom w:val="none" w:sz="0" w:space="0" w:color="auto"/>
            <w:right w:val="none" w:sz="0" w:space="0" w:color="auto"/>
          </w:divBdr>
          <w:divsChild>
            <w:div w:id="1544827033">
              <w:marLeft w:val="0"/>
              <w:marRight w:val="0"/>
              <w:marTop w:val="0"/>
              <w:marBottom w:val="0"/>
              <w:divBdr>
                <w:top w:val="none" w:sz="0" w:space="0" w:color="auto"/>
                <w:left w:val="none" w:sz="0" w:space="0" w:color="auto"/>
                <w:bottom w:val="none" w:sz="0" w:space="0" w:color="auto"/>
                <w:right w:val="none" w:sz="0" w:space="0" w:color="auto"/>
              </w:divBdr>
              <w:divsChild>
                <w:div w:id="1066026705">
                  <w:marLeft w:val="0"/>
                  <w:marRight w:val="0"/>
                  <w:marTop w:val="0"/>
                  <w:marBottom w:val="0"/>
                  <w:divBdr>
                    <w:top w:val="none" w:sz="0" w:space="0" w:color="auto"/>
                    <w:left w:val="none" w:sz="0" w:space="0" w:color="auto"/>
                    <w:bottom w:val="none" w:sz="0" w:space="0" w:color="auto"/>
                    <w:right w:val="none" w:sz="0" w:space="0" w:color="auto"/>
                  </w:divBdr>
                  <w:divsChild>
                    <w:div w:id="1935550799">
                      <w:marLeft w:val="0"/>
                      <w:marRight w:val="0"/>
                      <w:marTop w:val="0"/>
                      <w:marBottom w:val="0"/>
                      <w:divBdr>
                        <w:top w:val="none" w:sz="0" w:space="0" w:color="auto"/>
                        <w:left w:val="none" w:sz="0" w:space="0" w:color="auto"/>
                        <w:bottom w:val="none" w:sz="0" w:space="0" w:color="auto"/>
                        <w:right w:val="none" w:sz="0" w:space="0" w:color="auto"/>
                      </w:divBdr>
                      <w:divsChild>
                        <w:div w:id="1279800316">
                          <w:marLeft w:val="0"/>
                          <w:marRight w:val="0"/>
                          <w:marTop w:val="0"/>
                          <w:marBottom w:val="0"/>
                          <w:divBdr>
                            <w:top w:val="none" w:sz="0" w:space="0" w:color="auto"/>
                            <w:left w:val="none" w:sz="0" w:space="0" w:color="auto"/>
                            <w:bottom w:val="none" w:sz="0" w:space="0" w:color="auto"/>
                            <w:right w:val="none" w:sz="0" w:space="0" w:color="auto"/>
                          </w:divBdr>
                          <w:divsChild>
                            <w:div w:id="192576176">
                              <w:marLeft w:val="0"/>
                              <w:marRight w:val="0"/>
                              <w:marTop w:val="0"/>
                              <w:marBottom w:val="0"/>
                              <w:divBdr>
                                <w:top w:val="none" w:sz="0" w:space="0" w:color="auto"/>
                                <w:left w:val="none" w:sz="0" w:space="0" w:color="auto"/>
                                <w:bottom w:val="none" w:sz="0" w:space="0" w:color="auto"/>
                                <w:right w:val="none" w:sz="0" w:space="0" w:color="auto"/>
                              </w:divBdr>
                              <w:divsChild>
                                <w:div w:id="433985678">
                                  <w:marLeft w:val="0"/>
                                  <w:marRight w:val="0"/>
                                  <w:marTop w:val="0"/>
                                  <w:marBottom w:val="0"/>
                                  <w:divBdr>
                                    <w:top w:val="none" w:sz="0" w:space="0" w:color="auto"/>
                                    <w:left w:val="none" w:sz="0" w:space="0" w:color="auto"/>
                                    <w:bottom w:val="none" w:sz="0" w:space="0" w:color="auto"/>
                                    <w:right w:val="none" w:sz="0" w:space="0" w:color="auto"/>
                                  </w:divBdr>
                                  <w:divsChild>
                                    <w:div w:id="146889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26334895251334536" TargetMode="External"/><Relationship Id="rId18" Type="http://schemas.openxmlformats.org/officeDocument/2006/relationships/hyperlink" Target="https://doi.org/10.1111/beer.12439" TargetMode="External"/><Relationship Id="rId26" Type="http://schemas.openxmlformats.org/officeDocument/2006/relationships/hyperlink" Target="https://cdn.ymaws.com/www.iodsa.co.za/resource/collection/684B68A7-B768-465C-8214-E3A007F15A5A/IoDSA_King_IV_Report_-_WebVersion.pdf" TargetMode="External"/><Relationship Id="rId39" Type="http://schemas.openxmlformats.org/officeDocument/2006/relationships/footer" Target="footer1.xml"/><Relationship Id="rId21" Type="http://schemas.openxmlformats.org/officeDocument/2006/relationships/hyperlink" Target="https://frcnigeria.gov.ng/2026/02/26/frc-unveils-amended-roadmap-and-sustainability-reporting-guideline-to-strengthen-adoption-of-ifrs-sustainability-disclosure-standards-in-nigeria/" TargetMode="External"/><Relationship Id="rId34" Type="http://schemas.openxmlformats.org/officeDocument/2006/relationships/hyperlink" Target="https://doi.org/10.2308/accr.2009.84.3.93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11142-021-09609-5" TargetMode="External"/><Relationship Id="rId20" Type="http://schemas.openxmlformats.org/officeDocument/2006/relationships/hyperlink" Target="https://doi.org/10.1108/JAEE-02-2020-0037" TargetMode="External"/><Relationship Id="rId29" Type="http://schemas.openxmlformats.org/officeDocument/2006/relationships/hyperlink" Target="https://ngxgroup.com/ngx-download/sustainability-disclosure-guideline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42/S1094406020500055" TargetMode="External"/><Relationship Id="rId24" Type="http://schemas.openxmlformats.org/officeDocument/2006/relationships/hyperlink" Target="https://doi.org/10.1177/0021886306295295" TargetMode="External"/><Relationship Id="rId32" Type="http://schemas.openxmlformats.org/officeDocument/2006/relationships/hyperlink" Target="https://doi.org/10.1016/j.iref.2025.104445" TargetMode="External"/><Relationship Id="rId37" Type="http://schemas.openxmlformats.org/officeDocument/2006/relationships/hyperlink" Target="https://doi.org/10.1177/1077558708317802"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n.gov.ng/Out/2012/CCD/NSBP%20Guidance%20Note_Final%20Version.pdf" TargetMode="External"/><Relationship Id="rId23" Type="http://schemas.openxmlformats.org/officeDocument/2006/relationships/hyperlink" Target="https://frcnigeria.gov.ng/wp-content/uploads/2026/03/Sustainability-Reporting-Guideline-SRG1-in-Nigeria-2026-SRG-.pdf" TargetMode="External"/><Relationship Id="rId28" Type="http://schemas.openxmlformats.org/officeDocument/2006/relationships/hyperlink" Target="https://doi.org/10.1002/bse.643" TargetMode="External"/><Relationship Id="rId36" Type="http://schemas.openxmlformats.org/officeDocument/2006/relationships/hyperlink" Target="https://doi.org/10.1186/1748-5908-4-67" TargetMode="External"/><Relationship Id="rId10" Type="http://schemas.openxmlformats.org/officeDocument/2006/relationships/hyperlink" Target="https://doi.org/10.1177/001872679304600601" TargetMode="External"/><Relationship Id="rId19" Type="http://schemas.openxmlformats.org/officeDocument/2006/relationships/hyperlink" Target="https://doi.org/10.1108/SAMPJ-06-2020-0185" TargetMode="External"/><Relationship Id="rId31" Type="http://schemas.openxmlformats.org/officeDocument/2006/relationships/hyperlink" Target="https://doi.org/10.1016/j.jclepro.2022.133411" TargetMode="External"/><Relationship Id="rId4" Type="http://schemas.openxmlformats.org/officeDocument/2006/relationships/settings" Target="settings.xml"/><Relationship Id="rId9" Type="http://schemas.openxmlformats.org/officeDocument/2006/relationships/hyperlink" Target="https://doi.org/10.1108/JFRA-01-2015-0003" TargetMode="External"/><Relationship Id="rId14" Type="http://schemas.openxmlformats.org/officeDocument/2006/relationships/hyperlink" Target="https://www.cbn.gov.ng/out/2012/ccd/circular-nsbp.pdf" TargetMode="External"/><Relationship Id="rId22" Type="http://schemas.openxmlformats.org/officeDocument/2006/relationships/hyperlink" Target="https://frcnigeria.gov.ng/wp-content/uploads/2026/02/Roadmap-Report-for-the-Adoption-of-IFRS-Sustainability-Disclosure-Standards-in-Nigeria-Amended-2026-.pdf" TargetMode="External"/><Relationship Id="rId27" Type="http://schemas.openxmlformats.org/officeDocument/2006/relationships/hyperlink" Target="https://www.jse.co.za/sites/default/files/media/documents/JSE%20Sustainability%20Disclosure%20Guidance%20June%202022.pdf" TargetMode="External"/><Relationship Id="rId30" Type="http://schemas.openxmlformats.org/officeDocument/2006/relationships/hyperlink" Target="https://doi.org/10.1080/23311975.2024.2325111" TargetMode="External"/><Relationship Id="rId35" Type="http://schemas.openxmlformats.org/officeDocument/2006/relationships/hyperlink" Target="https://doi.org/10.1108/AJAR-03-2021-0036" TargetMode="External"/><Relationship Id="rId8" Type="http://schemas.openxmlformats.org/officeDocument/2006/relationships/hyperlink" Target="https://doi.org/10.1002/bse.2046" TargetMode="External"/><Relationship Id="rId3" Type="http://schemas.openxmlformats.org/officeDocument/2006/relationships/styles" Target="styles.xml"/><Relationship Id="rId12" Type="http://schemas.openxmlformats.org/officeDocument/2006/relationships/hyperlink" Target="https://doi.org/10.2308/jiar-10211" TargetMode="External"/><Relationship Id="rId17" Type="http://schemas.openxmlformats.org/officeDocument/2006/relationships/hyperlink" Target="https://doi.org/10.2307/2095101" TargetMode="External"/><Relationship Id="rId25" Type="http://schemas.openxmlformats.org/officeDocument/2006/relationships/hyperlink" Target="https://www.icpak.com/roadmap-for-the-adoption-of-ifrs-sustainability-disclosure-standards-in-kenya/" TargetMode="External"/><Relationship Id="rId33" Type="http://schemas.openxmlformats.org/officeDocument/2006/relationships/hyperlink" Target="https://doi.org/10.1186/1748-5908-9-7" TargetMode="External"/><Relationship Id="rId38" Type="http://schemas.openxmlformats.org/officeDocument/2006/relationships/hyperlink" Target="https://doi.org/10.1016/j.jclepro.2023.1375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573EA6-A8D4-4593-8424-78FC3CA89612}">
  <we:reference id="wa200001361" version="2.129.3.0" store="en-US" storeType="OMEX"/>
  <we:alternateReferences>
    <we:reference id="WA200001361" version="2.129.3.0" store="" storeType="OMEX"/>
  </we:alternateReferences>
  <we:properties>
    <we:property name="paperpal-document-id" value="&quot;d87a914e-a907-40dd-8853-2fc27747600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6484D-B1B6-4C4F-83AF-876CC8476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29</Pages>
  <Words>10548</Words>
  <Characters>60130</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INIABIMS</dc:creator>
  <cp:lastModifiedBy>INIABIMS</cp:lastModifiedBy>
  <cp:revision>191</cp:revision>
  <cp:lastPrinted>2026-07-13T21:17:00Z</cp:lastPrinted>
  <dcterms:created xsi:type="dcterms:W3CDTF">2026-07-13T21:12:00Z</dcterms:created>
  <dcterms:modified xsi:type="dcterms:W3CDTF">2026-07-28T19:04:00Z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9afc9ad5-a074-4894-a08f-f73e9501171f</vt:lpwstr>
  </property>
</Properties>
</file>