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D435BC" w14:textId="77777777" w:rsidR="009411C1" w:rsidRDefault="009411C1" w:rsidP="009411C1">
      <w:pPr>
        <w:spacing w:line="480" w:lineRule="auto"/>
        <w:jc w:val="center"/>
        <w:rPr>
          <w:rFonts w:asciiTheme="majorBidi" w:hAnsiTheme="majorBidi" w:cstheme="majorBidi"/>
          <w:b/>
          <w:bCs/>
          <w:sz w:val="22"/>
          <w:szCs w:val="22"/>
        </w:rPr>
      </w:pPr>
    </w:p>
    <w:p w14:paraId="2D1E1DED" w14:textId="77777777" w:rsidR="009411C1" w:rsidRDefault="009411C1" w:rsidP="009411C1">
      <w:pPr>
        <w:spacing w:line="480" w:lineRule="auto"/>
        <w:jc w:val="center"/>
        <w:rPr>
          <w:rFonts w:asciiTheme="majorBidi" w:hAnsiTheme="majorBidi" w:cstheme="majorBidi"/>
          <w:b/>
          <w:bCs/>
          <w:sz w:val="22"/>
          <w:szCs w:val="22"/>
        </w:rPr>
      </w:pPr>
    </w:p>
    <w:p w14:paraId="776EE283" w14:textId="77777777" w:rsidR="009411C1" w:rsidRDefault="009411C1" w:rsidP="009411C1">
      <w:pPr>
        <w:spacing w:line="480" w:lineRule="auto"/>
        <w:jc w:val="center"/>
        <w:rPr>
          <w:rFonts w:asciiTheme="majorBidi" w:hAnsiTheme="majorBidi" w:cstheme="majorBidi"/>
          <w:b/>
          <w:bCs/>
          <w:sz w:val="22"/>
          <w:szCs w:val="22"/>
        </w:rPr>
      </w:pPr>
    </w:p>
    <w:p w14:paraId="73F4BE7D" w14:textId="77777777" w:rsidR="009411C1" w:rsidRDefault="009411C1" w:rsidP="009411C1">
      <w:pPr>
        <w:spacing w:line="480" w:lineRule="auto"/>
        <w:jc w:val="center"/>
        <w:rPr>
          <w:rFonts w:asciiTheme="majorBidi" w:hAnsiTheme="majorBidi" w:cstheme="majorBidi"/>
          <w:b/>
          <w:bCs/>
          <w:sz w:val="22"/>
          <w:szCs w:val="22"/>
        </w:rPr>
      </w:pPr>
    </w:p>
    <w:p w14:paraId="0F3CA7D7" w14:textId="77777777" w:rsidR="009411C1" w:rsidRDefault="009411C1" w:rsidP="009411C1">
      <w:pPr>
        <w:spacing w:line="480" w:lineRule="auto"/>
        <w:jc w:val="center"/>
        <w:rPr>
          <w:rFonts w:asciiTheme="majorBidi" w:hAnsiTheme="majorBidi" w:cstheme="majorBidi"/>
          <w:b/>
          <w:bCs/>
          <w:sz w:val="22"/>
          <w:szCs w:val="22"/>
        </w:rPr>
      </w:pPr>
    </w:p>
    <w:p w14:paraId="24FFA246" w14:textId="77777777" w:rsidR="009411C1" w:rsidRDefault="009411C1" w:rsidP="009411C1">
      <w:pPr>
        <w:spacing w:line="480" w:lineRule="auto"/>
        <w:jc w:val="center"/>
        <w:rPr>
          <w:rFonts w:asciiTheme="majorBidi" w:hAnsiTheme="majorBidi" w:cstheme="majorBidi"/>
          <w:b/>
          <w:bCs/>
          <w:sz w:val="22"/>
          <w:szCs w:val="22"/>
        </w:rPr>
      </w:pPr>
    </w:p>
    <w:p w14:paraId="7E010F9F" w14:textId="77777777" w:rsidR="009411C1" w:rsidRDefault="009411C1" w:rsidP="009411C1">
      <w:pPr>
        <w:spacing w:line="480" w:lineRule="auto"/>
        <w:jc w:val="center"/>
        <w:rPr>
          <w:rFonts w:asciiTheme="majorBidi" w:hAnsiTheme="majorBidi" w:cstheme="majorBidi"/>
          <w:b/>
          <w:bCs/>
          <w:sz w:val="22"/>
          <w:szCs w:val="22"/>
        </w:rPr>
      </w:pPr>
    </w:p>
    <w:p w14:paraId="732ACB10" w14:textId="77777777" w:rsidR="009411C1" w:rsidRPr="009411C1" w:rsidRDefault="009411C1" w:rsidP="009411C1">
      <w:pPr>
        <w:spacing w:line="480" w:lineRule="auto"/>
        <w:jc w:val="center"/>
        <w:rPr>
          <w:rFonts w:asciiTheme="majorBidi" w:hAnsiTheme="majorBidi" w:cstheme="majorBidi"/>
          <w:b/>
          <w:bCs/>
          <w:sz w:val="56"/>
          <w:szCs w:val="56"/>
          <w:rtl/>
        </w:rPr>
      </w:pPr>
      <w:r w:rsidRPr="009411C1">
        <w:rPr>
          <w:rFonts w:asciiTheme="majorBidi" w:hAnsiTheme="majorBidi" w:cstheme="majorBidi"/>
          <w:b/>
          <w:bCs/>
          <w:sz w:val="56"/>
          <w:szCs w:val="56"/>
        </w:rPr>
        <w:t>Facebook as a Learning Tool for Banking Sciences Among Students at Badji Mokhtar - Annaba University</w:t>
      </w:r>
    </w:p>
    <w:p w14:paraId="09C14FCF" w14:textId="77777777" w:rsidR="009411C1" w:rsidRPr="009411C1" w:rsidRDefault="009411C1" w:rsidP="009411C1">
      <w:pPr>
        <w:spacing w:line="480" w:lineRule="auto"/>
        <w:jc w:val="center"/>
        <w:rPr>
          <w:rFonts w:asciiTheme="majorBidi" w:hAnsiTheme="majorBidi" w:cstheme="majorBidi"/>
          <w:b/>
          <w:bCs/>
          <w:sz w:val="56"/>
          <w:szCs w:val="56"/>
        </w:rPr>
      </w:pPr>
    </w:p>
    <w:p w14:paraId="581F7437" w14:textId="77777777" w:rsidR="009411C1" w:rsidRDefault="009411C1" w:rsidP="009411C1">
      <w:pPr>
        <w:spacing w:line="480" w:lineRule="auto"/>
        <w:jc w:val="center"/>
        <w:rPr>
          <w:rFonts w:asciiTheme="majorBidi" w:hAnsiTheme="majorBidi" w:cstheme="majorBidi"/>
          <w:b/>
          <w:bCs/>
          <w:sz w:val="22"/>
          <w:szCs w:val="22"/>
        </w:rPr>
      </w:pPr>
    </w:p>
    <w:p w14:paraId="49BA4EC7" w14:textId="77777777" w:rsidR="009411C1" w:rsidRDefault="009411C1" w:rsidP="009411C1">
      <w:pPr>
        <w:spacing w:line="480" w:lineRule="auto"/>
        <w:jc w:val="center"/>
        <w:rPr>
          <w:rFonts w:asciiTheme="majorBidi" w:hAnsiTheme="majorBidi" w:cstheme="majorBidi"/>
          <w:b/>
          <w:bCs/>
          <w:sz w:val="22"/>
          <w:szCs w:val="22"/>
        </w:rPr>
      </w:pPr>
    </w:p>
    <w:p w14:paraId="0B6CF83F" w14:textId="77777777" w:rsidR="009411C1" w:rsidRDefault="009411C1" w:rsidP="009411C1">
      <w:pPr>
        <w:spacing w:line="480" w:lineRule="auto"/>
        <w:jc w:val="center"/>
        <w:rPr>
          <w:rFonts w:asciiTheme="majorBidi" w:hAnsiTheme="majorBidi" w:cstheme="majorBidi"/>
          <w:b/>
          <w:bCs/>
          <w:sz w:val="22"/>
          <w:szCs w:val="22"/>
        </w:rPr>
      </w:pPr>
    </w:p>
    <w:p w14:paraId="6E7C3518" w14:textId="77777777" w:rsidR="009411C1" w:rsidRDefault="009411C1" w:rsidP="009411C1">
      <w:pPr>
        <w:spacing w:line="480" w:lineRule="auto"/>
        <w:jc w:val="center"/>
        <w:rPr>
          <w:rFonts w:asciiTheme="majorBidi" w:hAnsiTheme="majorBidi" w:cstheme="majorBidi"/>
          <w:b/>
          <w:bCs/>
          <w:sz w:val="22"/>
          <w:szCs w:val="22"/>
        </w:rPr>
      </w:pPr>
    </w:p>
    <w:p w14:paraId="2E0DBA01" w14:textId="77777777" w:rsidR="009411C1" w:rsidRDefault="009411C1" w:rsidP="009411C1">
      <w:pPr>
        <w:spacing w:line="480" w:lineRule="auto"/>
        <w:jc w:val="center"/>
        <w:rPr>
          <w:rFonts w:asciiTheme="majorBidi" w:hAnsiTheme="majorBidi" w:cstheme="majorBidi"/>
          <w:b/>
          <w:bCs/>
          <w:sz w:val="22"/>
          <w:szCs w:val="22"/>
        </w:rPr>
      </w:pPr>
    </w:p>
    <w:p w14:paraId="5FA57B93" w14:textId="77777777" w:rsidR="009411C1" w:rsidRDefault="009411C1" w:rsidP="009411C1">
      <w:pPr>
        <w:spacing w:line="480" w:lineRule="auto"/>
        <w:jc w:val="center"/>
        <w:rPr>
          <w:rFonts w:asciiTheme="majorBidi" w:hAnsiTheme="majorBidi" w:cstheme="majorBidi"/>
          <w:b/>
          <w:bCs/>
          <w:sz w:val="22"/>
          <w:szCs w:val="22"/>
        </w:rPr>
      </w:pPr>
    </w:p>
    <w:p w14:paraId="6A828D9E" w14:textId="77777777" w:rsidR="009411C1" w:rsidRDefault="009411C1" w:rsidP="009411C1">
      <w:pPr>
        <w:spacing w:line="480" w:lineRule="auto"/>
        <w:jc w:val="center"/>
        <w:rPr>
          <w:rFonts w:asciiTheme="majorBidi" w:hAnsiTheme="majorBidi" w:cstheme="majorBidi"/>
          <w:b/>
          <w:bCs/>
          <w:sz w:val="22"/>
          <w:szCs w:val="22"/>
        </w:rPr>
      </w:pPr>
    </w:p>
    <w:p w14:paraId="2D7FD0B9" w14:textId="77777777" w:rsidR="009411C1" w:rsidRDefault="009411C1" w:rsidP="009411C1">
      <w:pPr>
        <w:spacing w:line="480" w:lineRule="auto"/>
        <w:jc w:val="center"/>
        <w:rPr>
          <w:rFonts w:asciiTheme="majorBidi" w:hAnsiTheme="majorBidi" w:cstheme="majorBidi"/>
          <w:b/>
          <w:bCs/>
          <w:sz w:val="22"/>
          <w:szCs w:val="22"/>
        </w:rPr>
      </w:pPr>
    </w:p>
    <w:p w14:paraId="1B771962" w14:textId="77777777" w:rsidR="009411C1" w:rsidRDefault="009411C1" w:rsidP="009411C1">
      <w:pPr>
        <w:spacing w:line="480" w:lineRule="auto"/>
        <w:jc w:val="center"/>
        <w:rPr>
          <w:rFonts w:asciiTheme="majorBidi" w:hAnsiTheme="majorBidi" w:cstheme="majorBidi"/>
          <w:b/>
          <w:bCs/>
          <w:sz w:val="22"/>
          <w:szCs w:val="22"/>
        </w:rPr>
      </w:pPr>
    </w:p>
    <w:p w14:paraId="431585B7" w14:textId="77777777" w:rsidR="009411C1" w:rsidRDefault="009411C1" w:rsidP="009411C1">
      <w:pPr>
        <w:spacing w:line="480" w:lineRule="auto"/>
        <w:jc w:val="center"/>
        <w:rPr>
          <w:rFonts w:asciiTheme="majorBidi" w:hAnsiTheme="majorBidi" w:cstheme="majorBidi"/>
          <w:b/>
          <w:bCs/>
          <w:sz w:val="22"/>
          <w:szCs w:val="22"/>
        </w:rPr>
      </w:pPr>
    </w:p>
    <w:p w14:paraId="140E66C8" w14:textId="26F6627F" w:rsidR="00CA25DC" w:rsidRPr="009411C1" w:rsidRDefault="002946C2" w:rsidP="009411C1">
      <w:pPr>
        <w:spacing w:line="480" w:lineRule="auto"/>
        <w:jc w:val="center"/>
        <w:rPr>
          <w:rFonts w:asciiTheme="majorBidi" w:hAnsiTheme="majorBidi" w:cstheme="majorBidi"/>
          <w:b/>
          <w:bCs/>
          <w:color w:val="000000" w:themeColor="text1"/>
          <w:sz w:val="22"/>
          <w:szCs w:val="22"/>
          <w:rtl/>
        </w:rPr>
      </w:pPr>
      <w:r w:rsidRPr="009411C1">
        <w:rPr>
          <w:rFonts w:asciiTheme="majorBidi" w:hAnsiTheme="majorBidi" w:cstheme="majorBidi"/>
          <w:b/>
          <w:bCs/>
          <w:color w:val="000000" w:themeColor="text1"/>
          <w:sz w:val="22"/>
          <w:szCs w:val="22"/>
        </w:rPr>
        <w:lastRenderedPageBreak/>
        <w:t xml:space="preserve">Facebook as a Learning Tool for Banking Sciences Among Students at </w:t>
      </w:r>
      <w:r w:rsidR="002D33ED" w:rsidRPr="009411C1">
        <w:rPr>
          <w:rFonts w:asciiTheme="majorBidi" w:hAnsiTheme="majorBidi" w:cstheme="majorBidi"/>
          <w:b/>
          <w:bCs/>
          <w:color w:val="000000" w:themeColor="text1"/>
          <w:sz w:val="22"/>
          <w:szCs w:val="22"/>
        </w:rPr>
        <w:t xml:space="preserve">Badji Mokhtar - </w:t>
      </w:r>
      <w:r w:rsidRPr="009411C1">
        <w:rPr>
          <w:rFonts w:asciiTheme="majorBidi" w:hAnsiTheme="majorBidi" w:cstheme="majorBidi"/>
          <w:b/>
          <w:bCs/>
          <w:color w:val="000000" w:themeColor="text1"/>
          <w:sz w:val="22"/>
          <w:szCs w:val="22"/>
        </w:rPr>
        <w:t>Annaba University</w:t>
      </w:r>
    </w:p>
    <w:p w14:paraId="620837C2" w14:textId="77777777" w:rsidR="00C55679" w:rsidRPr="009411C1" w:rsidRDefault="00C55679" w:rsidP="009411C1">
      <w:pPr>
        <w:spacing w:line="480" w:lineRule="auto"/>
        <w:rPr>
          <w:rFonts w:asciiTheme="majorBidi" w:hAnsiTheme="majorBidi" w:cstheme="majorBidi"/>
          <w:b/>
          <w:bCs/>
          <w:color w:val="000000" w:themeColor="text1"/>
          <w:sz w:val="22"/>
          <w:szCs w:val="22"/>
        </w:rPr>
      </w:pPr>
      <w:r w:rsidRPr="009411C1">
        <w:rPr>
          <w:rFonts w:asciiTheme="majorBidi" w:hAnsiTheme="majorBidi" w:cstheme="majorBidi"/>
          <w:b/>
          <w:bCs/>
          <w:color w:val="000000" w:themeColor="text1"/>
          <w:sz w:val="22"/>
          <w:szCs w:val="22"/>
        </w:rPr>
        <w:t>Abstract</w:t>
      </w:r>
    </w:p>
    <w:p w14:paraId="704FEC8F" w14:textId="77777777" w:rsidR="00C55679" w:rsidRPr="009411C1" w:rsidRDefault="00C55679" w:rsidP="009411C1">
      <w:pPr>
        <w:spacing w:line="480" w:lineRule="auto"/>
        <w:jc w:val="lowKashida"/>
        <w:rPr>
          <w:rFonts w:asciiTheme="majorBidi" w:hAnsiTheme="majorBidi" w:cstheme="majorBidi"/>
          <w:color w:val="000000" w:themeColor="text1"/>
          <w:sz w:val="22"/>
          <w:szCs w:val="22"/>
        </w:rPr>
      </w:pPr>
      <w:r w:rsidRPr="009411C1">
        <w:rPr>
          <w:rFonts w:asciiTheme="majorBidi" w:hAnsiTheme="majorBidi" w:cstheme="majorBidi"/>
          <w:color w:val="000000" w:themeColor="text1"/>
          <w:sz w:val="22"/>
          <w:szCs w:val="22"/>
        </w:rPr>
        <w:t>Social networking platforms have evolved and expanded their applications across various human, social, cultural, political, economic, and educational domains. Focusing on educational applications, this study investigates the extent to which university students utilize the popular social networking platform Facebook as an educational tool, given its widespread adoption among this demographic. To achieve the study objectives, the researchers surveyed a sample of 131 Master's and Doctoral students at the University of Annaba using a questionnaire, exploring their use of Facebook for learning banking sciences. The results revealed positive tendencies among students towards using Facebook, both individually and interactively with peers and professors, for learning banking sciences. The individual and interactive use of Facebook for learning banking sciences was high. The study concludes by offering recommendations to enhance the role of universities, governments, and higher education ministries in guiding students' use of social networking platforms for educational purposes, in addition to proposing future research avenues.</w:t>
      </w:r>
    </w:p>
    <w:p w14:paraId="5407ECD1" w14:textId="0F24977C" w:rsidR="00C55679" w:rsidRPr="009411C1" w:rsidRDefault="00C55679" w:rsidP="009411C1">
      <w:pPr>
        <w:spacing w:line="480" w:lineRule="auto"/>
        <w:jc w:val="both"/>
        <w:rPr>
          <w:rFonts w:asciiTheme="majorBidi" w:hAnsiTheme="majorBidi" w:cstheme="majorBidi"/>
          <w:color w:val="000000" w:themeColor="text1"/>
          <w:sz w:val="22"/>
          <w:szCs w:val="22"/>
        </w:rPr>
      </w:pPr>
      <w:r w:rsidRPr="009411C1">
        <w:rPr>
          <w:rFonts w:asciiTheme="majorBidi" w:hAnsiTheme="majorBidi" w:cstheme="majorBidi"/>
          <w:b/>
          <w:bCs/>
          <w:color w:val="000000" w:themeColor="text1"/>
          <w:sz w:val="22"/>
          <w:szCs w:val="22"/>
        </w:rPr>
        <w:t xml:space="preserve">Keywords: </w:t>
      </w:r>
      <w:r w:rsidR="00E36278" w:rsidRPr="009411C1">
        <w:rPr>
          <w:rFonts w:asciiTheme="majorBidi" w:hAnsiTheme="majorBidi" w:cstheme="majorBidi"/>
          <w:color w:val="000000" w:themeColor="text1"/>
          <w:sz w:val="22"/>
          <w:szCs w:val="22"/>
        </w:rPr>
        <w:t>Banking Sciences, Education, Facebook, Social Networking Sites,</w:t>
      </w:r>
      <w:r w:rsidRPr="009411C1">
        <w:rPr>
          <w:rFonts w:asciiTheme="majorBidi" w:hAnsiTheme="majorBidi" w:cstheme="majorBidi"/>
          <w:color w:val="000000" w:themeColor="text1"/>
          <w:sz w:val="22"/>
          <w:szCs w:val="22"/>
        </w:rPr>
        <w:t xml:space="preserve"> University</w:t>
      </w:r>
      <w:r w:rsidR="009411C1" w:rsidRPr="009411C1">
        <w:rPr>
          <w:rFonts w:asciiTheme="majorBidi" w:hAnsiTheme="majorBidi" w:cstheme="majorBidi"/>
          <w:color w:val="000000" w:themeColor="text1"/>
          <w:sz w:val="22"/>
          <w:szCs w:val="22"/>
        </w:rPr>
        <w:t>,</w:t>
      </w:r>
      <w:r w:rsidRPr="009411C1">
        <w:rPr>
          <w:rFonts w:asciiTheme="majorBidi" w:hAnsiTheme="majorBidi" w:cstheme="majorBidi"/>
          <w:color w:val="000000" w:themeColor="text1"/>
          <w:sz w:val="22"/>
          <w:szCs w:val="22"/>
        </w:rPr>
        <w:t xml:space="preserve"> Students.</w:t>
      </w:r>
    </w:p>
    <w:p w14:paraId="17485B4B" w14:textId="46048710" w:rsidR="00607782" w:rsidRPr="006E16F9" w:rsidRDefault="002946C2" w:rsidP="009411C1">
      <w:pPr>
        <w:spacing w:line="480" w:lineRule="auto"/>
        <w:rPr>
          <w:rFonts w:asciiTheme="majorBidi" w:hAnsiTheme="majorBidi" w:cstheme="majorBidi"/>
          <w:b/>
          <w:bCs/>
          <w:sz w:val="22"/>
          <w:szCs w:val="22"/>
        </w:rPr>
      </w:pPr>
      <w:bookmarkStart w:id="0" w:name="_GoBack"/>
      <w:r w:rsidRPr="006E16F9">
        <w:rPr>
          <w:rFonts w:asciiTheme="majorBidi" w:hAnsiTheme="majorBidi" w:cstheme="majorBidi"/>
          <w:b/>
          <w:bCs/>
          <w:sz w:val="22"/>
          <w:szCs w:val="22"/>
        </w:rPr>
        <w:t>Introduction</w:t>
      </w:r>
    </w:p>
    <w:p w14:paraId="7F44C2E1" w14:textId="77777777" w:rsidR="008F5C4E" w:rsidRPr="006E16F9" w:rsidRDefault="008F5C4E" w:rsidP="009411C1">
      <w:pPr>
        <w:pStyle w:val="NormalWeb"/>
        <w:spacing w:before="0" w:beforeAutospacing="0" w:after="0" w:afterAutospacing="0" w:line="480" w:lineRule="auto"/>
        <w:jc w:val="both"/>
        <w:rPr>
          <w:rFonts w:asciiTheme="majorBidi" w:hAnsiTheme="majorBidi" w:cstheme="majorBidi"/>
          <w:sz w:val="22"/>
          <w:szCs w:val="22"/>
        </w:rPr>
      </w:pPr>
      <w:bookmarkStart w:id="1" w:name="_Hlk80000697"/>
      <w:r w:rsidRPr="006E16F9">
        <w:rPr>
          <w:rFonts w:asciiTheme="majorBidi" w:hAnsiTheme="majorBidi" w:cstheme="majorBidi"/>
          <w:sz w:val="22"/>
          <w:szCs w:val="22"/>
        </w:rPr>
        <w:t>The contemporary epoch has been fittingly delineated as the age of Information and Communication Technologies (ICTs), a period marked by profound and monumental advancements in digital innovation. These advancements have had a significant influence on human life, permeating various facets including social, cultural, economic, political, scientific, technological, and religious domains (Kontostavlou &amp; Drigas, 2019). Currently, we are witnessing a new era characterised by a transformative revolution within the ICT sector. This revolution has led to significant changes that have redefined communication and interpersonal interaction, ushering in an era of unprecedented interconnectedness and information exchange.</w:t>
      </w:r>
    </w:p>
    <w:p w14:paraId="0BF52DAC" w14:textId="77777777" w:rsidR="008F5C4E" w:rsidRPr="006E16F9" w:rsidRDefault="008F5C4E" w:rsidP="009411C1">
      <w:pPr>
        <w:pStyle w:val="NormalWeb"/>
        <w:spacing w:before="0" w:beforeAutospacing="0" w:after="0" w:afterAutospacing="0" w:line="480" w:lineRule="auto"/>
        <w:jc w:val="both"/>
        <w:rPr>
          <w:rFonts w:asciiTheme="majorBidi" w:hAnsiTheme="majorBidi" w:cstheme="majorBidi"/>
          <w:sz w:val="22"/>
          <w:szCs w:val="22"/>
        </w:rPr>
      </w:pPr>
      <w:r w:rsidRPr="006E16F9">
        <w:rPr>
          <w:rFonts w:asciiTheme="majorBidi" w:hAnsiTheme="majorBidi" w:cstheme="majorBidi"/>
          <w:sz w:val="22"/>
          <w:szCs w:val="22"/>
        </w:rPr>
        <w:t xml:space="preserve">As a result of continuous development in the field of ICT on the one hand and the internet and its applications on the other, social networking sites have emerged, which refer to virtual platforms that </w:t>
      </w:r>
      <w:r w:rsidRPr="006E16F9">
        <w:rPr>
          <w:rFonts w:asciiTheme="majorBidi" w:hAnsiTheme="majorBidi" w:cstheme="majorBidi"/>
          <w:sz w:val="22"/>
          <w:szCs w:val="22"/>
        </w:rPr>
        <w:lastRenderedPageBreak/>
        <w:t>allow users to create personal pages and utilize various tools for interaction and communication with those who share their interests, as well as for discussing ideas and topics (Vlachopoulos &amp; Makri, 2019).</w:t>
      </w:r>
    </w:p>
    <w:p w14:paraId="57E5E3BE" w14:textId="77777777" w:rsidR="008F5C4E" w:rsidRPr="006E16F9" w:rsidRDefault="008F5C4E" w:rsidP="009411C1">
      <w:pPr>
        <w:pStyle w:val="NormalWeb"/>
        <w:spacing w:before="0" w:beforeAutospacing="0" w:after="0" w:afterAutospacing="0" w:line="480" w:lineRule="auto"/>
        <w:jc w:val="both"/>
        <w:rPr>
          <w:rFonts w:asciiTheme="majorBidi" w:hAnsiTheme="majorBidi" w:cstheme="majorBidi"/>
          <w:sz w:val="22"/>
          <w:szCs w:val="22"/>
        </w:rPr>
      </w:pPr>
      <w:r w:rsidRPr="006E16F9">
        <w:rPr>
          <w:rFonts w:asciiTheme="majorBidi" w:hAnsiTheme="majorBidi" w:cstheme="majorBidi"/>
          <w:sz w:val="22"/>
          <w:szCs w:val="22"/>
        </w:rPr>
        <w:t>Over the past few years, the term social media or social networking sites has been widely used among organisations and individuals (Kapoor et al., 2018; Kemp, 2023). The term has been extensively used in various fields, and a wide range of definitions and concepts have emerged, especially in Western studies. Some studies describe social media as a form of virtual communities, while others view them as channels for social communication (Aichner et al., 2021; Sobaih et al., 2020).</w:t>
      </w:r>
    </w:p>
    <w:p w14:paraId="295EDC12" w14:textId="77777777" w:rsidR="008F5C4E" w:rsidRPr="006E16F9" w:rsidRDefault="008F5C4E" w:rsidP="009411C1">
      <w:pPr>
        <w:pStyle w:val="NormalWeb"/>
        <w:spacing w:before="0" w:beforeAutospacing="0" w:after="0" w:afterAutospacing="0" w:line="480" w:lineRule="auto"/>
        <w:jc w:val="both"/>
        <w:rPr>
          <w:rFonts w:asciiTheme="majorBidi" w:hAnsiTheme="majorBidi" w:cstheme="majorBidi"/>
          <w:sz w:val="22"/>
          <w:szCs w:val="22"/>
        </w:rPr>
      </w:pPr>
      <w:r w:rsidRPr="006E16F9">
        <w:rPr>
          <w:rFonts w:asciiTheme="majorBidi" w:hAnsiTheme="majorBidi" w:cstheme="majorBidi"/>
          <w:sz w:val="22"/>
          <w:szCs w:val="22"/>
        </w:rPr>
        <w:t>An analysis of the social media landscape reveals that it is comprised of global virtual communities where individuals engage in electronic communication centred around common interests and affiliations (Itō, 2019). Just as interpersonal interactions occur in the physical world, these online platforms enable remote interaction through the internet (Schultze &amp; Brooks, 2019). Fundamentally, social media represents an outgrowth of Web 2.0 and serves as a medium for communication within virtual communities (Bayer et al., 2020). These communities bring together geographically dispersed individuals who share common interests, backgrounds, or affiliations, whether geographical, educational, or otherwise. In the same vein, some studies state that interactions occur through the exchange of messages and viewing of personal profiles, making social media a powerful tool for social communication (Acquisti &amp; Fong, 2020; Temel Eginli &amp; Ozmelek Tas, 2018). In essence, social media has become a defining feature of the digital era, enabling virtual social engagement that transcends geographical barriers (Fazil et al., 2024).</w:t>
      </w:r>
    </w:p>
    <w:p w14:paraId="372D7588" w14:textId="77777777" w:rsidR="008F5C4E" w:rsidRPr="006E16F9" w:rsidRDefault="008F5C4E" w:rsidP="009411C1">
      <w:pPr>
        <w:pStyle w:val="NormalWeb"/>
        <w:spacing w:before="0" w:beforeAutospacing="0" w:after="0" w:afterAutospacing="0" w:line="480" w:lineRule="auto"/>
        <w:jc w:val="both"/>
        <w:rPr>
          <w:rFonts w:asciiTheme="majorBidi" w:hAnsiTheme="majorBidi" w:cstheme="majorBidi"/>
          <w:sz w:val="22"/>
          <w:szCs w:val="22"/>
        </w:rPr>
      </w:pPr>
      <w:r w:rsidRPr="006E16F9">
        <w:rPr>
          <w:rFonts w:asciiTheme="majorBidi" w:hAnsiTheme="majorBidi" w:cstheme="majorBidi"/>
          <w:sz w:val="22"/>
          <w:szCs w:val="22"/>
        </w:rPr>
        <w:t xml:space="preserve">Among the most popular social media platforms today is Facebook. This social network provides an electronic platform for users to create accounts, share information and content, and communicate with people they know or do not know (Hoffmann et al., 2018; Klonick, 2020). The idea of Facebook dates back to its founder Mark Zuckerberg, who created a website to connect his fellow students at Harvard University, launching Facebook in 2004. The site quickly became popular among Harvard students, which encouraged its expansion to students from other American universities and high schools (Niu, 2019). Facebook remained exclusive to students for two years before it was opened to the general public, resulting in a significant increase in users (Kwangmuang et al., 2021). As of early 2023, Facebook has 2.95 billion users, compared to YouTube’s 2.51 billion users. WhatsApp and Instagram </w:t>
      </w:r>
      <w:r w:rsidRPr="006E16F9">
        <w:rPr>
          <w:rFonts w:asciiTheme="majorBidi" w:hAnsiTheme="majorBidi" w:cstheme="majorBidi"/>
          <w:sz w:val="22"/>
          <w:szCs w:val="22"/>
        </w:rPr>
        <w:lastRenderedPageBreak/>
        <w:t>each have 2 billion users, WeChat has 1.30 billion, TikTok has 1.05 billion, while other social networks each have less than 1 billion users.</w:t>
      </w:r>
    </w:p>
    <w:p w14:paraId="6602B7D3" w14:textId="77777777" w:rsidR="008F5C4E" w:rsidRPr="006E16F9" w:rsidRDefault="008F5C4E" w:rsidP="009411C1">
      <w:pPr>
        <w:pStyle w:val="NormalWeb"/>
        <w:spacing w:before="0" w:beforeAutospacing="0" w:after="0" w:afterAutospacing="0" w:line="480" w:lineRule="auto"/>
        <w:jc w:val="both"/>
        <w:rPr>
          <w:rFonts w:asciiTheme="majorBidi" w:hAnsiTheme="majorBidi" w:cstheme="majorBidi"/>
          <w:sz w:val="22"/>
          <w:szCs w:val="22"/>
        </w:rPr>
      </w:pPr>
      <w:r w:rsidRPr="006E16F9">
        <w:rPr>
          <w:rFonts w:asciiTheme="majorBidi" w:hAnsiTheme="majorBidi" w:cstheme="majorBidi"/>
          <w:sz w:val="22"/>
          <w:szCs w:val="22"/>
        </w:rPr>
        <w:t>Owing to the numerous advantages of social networking websites, such as global reach, interactivity, multiplicity, ease of use, and cost-effectiveness, among others (Kontostavlou &amp; Drigas, 2019; Nilasari et al., 2019), their usage has increased significantly. According to Statista 2025 (Dixon, 2025), social media users have nearly doubled over the last six years, reaching 4.89 billion in 2023, meaning that over 57% of the world’s population uses these platforms. Social media users reached 2.95 billion at the beginning of 2023 (Kemp, 2023).</w:t>
      </w:r>
    </w:p>
    <w:p w14:paraId="1152F631" w14:textId="77777777" w:rsidR="008F5C4E" w:rsidRPr="006E16F9" w:rsidRDefault="008F5C4E" w:rsidP="009411C1">
      <w:pPr>
        <w:pStyle w:val="NormalWeb"/>
        <w:spacing w:before="0" w:beforeAutospacing="0" w:after="0" w:afterAutospacing="0" w:line="480" w:lineRule="auto"/>
        <w:jc w:val="both"/>
        <w:rPr>
          <w:rFonts w:asciiTheme="majorBidi" w:hAnsiTheme="majorBidi" w:cstheme="majorBidi"/>
          <w:sz w:val="22"/>
          <w:szCs w:val="22"/>
        </w:rPr>
      </w:pPr>
      <w:r w:rsidRPr="006E16F9">
        <w:rPr>
          <w:rFonts w:asciiTheme="majorBidi" w:hAnsiTheme="majorBidi" w:cstheme="majorBidi"/>
          <w:sz w:val="22"/>
          <w:szCs w:val="22"/>
        </w:rPr>
        <w:t>Among the social groups most frequently using social networking platforms, youth are the most dominant, engaging with these sites for entertainment, information exchange, escapism, trend-following, relationship building, leisure, and educational and professional development purposes (Boulianne &amp; Theocharis, 2020; Tandoc et al., 2019). A particularly important group within this segment is university students. International reports indicate that more than 98% of this group use social networking sites (Alves de Castro et al., 2022), with usage ranging between academic and non-academic purposes. Regarding academic use, numerous research endeavors have examined the role of social networking sites in enhancing academic performance among university students. This study contributes to this growing body of literature, focusing specifically on Banking Sciences.</w:t>
      </w:r>
    </w:p>
    <w:p w14:paraId="36BB75CA" w14:textId="77777777" w:rsidR="008F5C4E" w:rsidRPr="006E16F9" w:rsidRDefault="008F5C4E" w:rsidP="009411C1">
      <w:pPr>
        <w:pStyle w:val="NormalWeb"/>
        <w:spacing w:before="0" w:beforeAutospacing="0" w:after="0" w:afterAutospacing="0" w:line="480" w:lineRule="auto"/>
        <w:jc w:val="both"/>
        <w:rPr>
          <w:rFonts w:asciiTheme="majorBidi" w:hAnsiTheme="majorBidi" w:cstheme="majorBidi"/>
          <w:sz w:val="22"/>
          <w:szCs w:val="22"/>
        </w:rPr>
      </w:pPr>
      <w:r w:rsidRPr="006E16F9">
        <w:rPr>
          <w:rFonts w:asciiTheme="majorBidi" w:hAnsiTheme="majorBidi" w:cstheme="majorBidi"/>
          <w:sz w:val="22"/>
          <w:szCs w:val="22"/>
        </w:rPr>
        <w:t>By the end of 2019, a catastrophic global health pandemic known as COVID-19 emerged, leading to significant consequences across social, cultural, political, and economic spheres (Alizadeh et al., 2023). Education at all levels, particularly higher education, was significantly disrupted (Purcell &amp; Lumbreras, 2021), leading to university closures, suspension of traditional teaching, adoption of distance learning, and later the implementation of hybrid education systems (Bashir et al., 2021).</w:t>
      </w:r>
    </w:p>
    <w:p w14:paraId="50A2A4DE" w14:textId="77777777" w:rsidR="008F5C4E" w:rsidRPr="006E16F9" w:rsidRDefault="008F5C4E" w:rsidP="009411C1">
      <w:pPr>
        <w:pStyle w:val="NormalWeb"/>
        <w:spacing w:before="0" w:beforeAutospacing="0" w:after="0" w:afterAutospacing="0" w:line="480" w:lineRule="auto"/>
        <w:jc w:val="both"/>
        <w:rPr>
          <w:rFonts w:asciiTheme="majorBidi" w:hAnsiTheme="majorBidi" w:cstheme="majorBidi"/>
          <w:sz w:val="22"/>
          <w:szCs w:val="22"/>
        </w:rPr>
      </w:pPr>
      <w:r w:rsidRPr="006E16F9">
        <w:rPr>
          <w:rFonts w:asciiTheme="majorBidi" w:hAnsiTheme="majorBidi" w:cstheme="majorBidi"/>
          <w:sz w:val="22"/>
          <w:szCs w:val="22"/>
        </w:rPr>
        <w:t>In Algeria, the COVID-19 pandemic had several implications. The hybrid education system pushed all national universities to develop distance learning platforms (such as Moodle and e-learning systems) under the supervision of the Ministry of Higher Education and Scientific Research. These platforms were supported by lecture videos and documents, as well as live classes through Zoom and Google Meet.</w:t>
      </w:r>
    </w:p>
    <w:p w14:paraId="0A9BB45D" w14:textId="77777777" w:rsidR="008F5C4E" w:rsidRPr="006E16F9" w:rsidRDefault="008F5C4E" w:rsidP="009411C1">
      <w:pPr>
        <w:pStyle w:val="NormalWeb"/>
        <w:spacing w:before="0" w:beforeAutospacing="0" w:after="0" w:afterAutospacing="0" w:line="480" w:lineRule="auto"/>
        <w:jc w:val="both"/>
        <w:rPr>
          <w:rFonts w:asciiTheme="majorBidi" w:hAnsiTheme="majorBidi" w:cstheme="majorBidi"/>
          <w:sz w:val="22"/>
          <w:szCs w:val="22"/>
        </w:rPr>
      </w:pPr>
      <w:r w:rsidRPr="006E16F9">
        <w:rPr>
          <w:rFonts w:asciiTheme="majorBidi" w:hAnsiTheme="majorBidi" w:cstheme="majorBidi"/>
          <w:sz w:val="22"/>
          <w:szCs w:val="22"/>
        </w:rPr>
        <w:lastRenderedPageBreak/>
        <w:t>In light of the recent integration of electronic education in Algerian universities, administrative authorities have encouraged the use of social media platforms, particularly Facebook, as a pedagogical tool. A notable example is Badji Mokhtar University – Annaba, which actively promoted Facebook as an educational tool through meetings with faculty members and encouragement to share educational content. The university also created dedicated Facebook groups and pages for academic purposes to ensure timely dissemination of information. Against this background, this study aims to investigate the extent to which students in Banking Sciences at Badji Mokhtar University – Annaba use Facebook as a learning tool.</w:t>
      </w:r>
    </w:p>
    <w:p w14:paraId="1050ADC3" w14:textId="351F84E7" w:rsidR="00607782" w:rsidRPr="006E16F9" w:rsidRDefault="00607782"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 xml:space="preserve">The principal objective of this study is to quantify the prevalence of Facebook utilization among students at the </w:t>
      </w:r>
      <w:r w:rsidR="002D33ED" w:rsidRPr="006E16F9">
        <w:rPr>
          <w:rFonts w:asciiTheme="majorBidi" w:hAnsiTheme="majorBidi" w:cstheme="majorBidi"/>
          <w:sz w:val="22"/>
          <w:szCs w:val="22"/>
        </w:rPr>
        <w:t xml:space="preserve">Badji Mokhtar – Annaba University </w:t>
      </w:r>
      <w:r w:rsidRPr="006E16F9">
        <w:rPr>
          <w:rFonts w:asciiTheme="majorBidi" w:hAnsiTheme="majorBidi" w:cstheme="majorBidi"/>
          <w:sz w:val="22"/>
          <w:szCs w:val="22"/>
        </w:rPr>
        <w:t>to learn Banking Sciences. Concurrently, the study aims to elucidate the significance of leveraging social media platforms as a beneficial adjunct to the educational process, given their ubiquity among student demographics and the cost-free accessibility these platforms typically afford. This research is predicated upon the subsequent hypothetical model as Figure 1 show:</w:t>
      </w:r>
    </w:p>
    <w:p w14:paraId="0226CA0A" w14:textId="77777777" w:rsidR="00607782" w:rsidRPr="006E16F9" w:rsidRDefault="00607782" w:rsidP="009411C1">
      <w:pPr>
        <w:spacing w:after="100" w:afterAutospacing="1" w:line="480" w:lineRule="auto"/>
        <w:jc w:val="center"/>
        <w:rPr>
          <w:rFonts w:asciiTheme="majorBidi" w:hAnsiTheme="majorBidi" w:cstheme="majorBidi"/>
          <w:b/>
          <w:bCs/>
          <w:sz w:val="22"/>
          <w:szCs w:val="22"/>
        </w:rPr>
      </w:pPr>
      <w:r w:rsidRPr="006E16F9">
        <w:rPr>
          <w:rFonts w:asciiTheme="majorBidi" w:hAnsiTheme="majorBidi" w:cstheme="majorBidi"/>
          <w:b/>
          <w:bCs/>
          <w:noProof/>
          <w:sz w:val="22"/>
          <w:szCs w:val="22"/>
          <w:lang w:val="fr-FR" w:eastAsia="fr-FR"/>
        </w:rPr>
        <mc:AlternateContent>
          <mc:Choice Requires="wps">
            <w:drawing>
              <wp:anchor distT="0" distB="0" distL="114300" distR="114300" simplePos="0" relativeHeight="251660288" behindDoc="0" locked="0" layoutInCell="1" allowOverlap="1" wp14:anchorId="2D698699" wp14:editId="59EF24F2">
                <wp:simplePos x="0" y="0"/>
                <wp:positionH relativeFrom="column">
                  <wp:posOffset>-71755</wp:posOffset>
                </wp:positionH>
                <wp:positionV relativeFrom="paragraph">
                  <wp:posOffset>474980</wp:posOffset>
                </wp:positionV>
                <wp:extent cx="2647950" cy="252000"/>
                <wp:effectExtent l="0" t="0" r="19050" b="15240"/>
                <wp:wrapNone/>
                <wp:docPr id="194207953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252000"/>
                        </a:xfrm>
                        <a:prstGeom prst="rect">
                          <a:avLst/>
                        </a:prstGeom>
                        <a:solidFill>
                          <a:srgbClr val="FFFFFF"/>
                        </a:solidFill>
                        <a:ln w="9525">
                          <a:solidFill>
                            <a:srgbClr val="000000"/>
                          </a:solidFill>
                          <a:miter lim="800000"/>
                          <a:headEnd/>
                          <a:tailEnd/>
                        </a:ln>
                      </wps:spPr>
                      <wps:txbx>
                        <w:txbxContent>
                          <w:p w14:paraId="7F8AA143" w14:textId="77777777" w:rsidR="00607782" w:rsidRPr="009D54E6" w:rsidRDefault="00607782" w:rsidP="00607782">
                            <w:pPr>
                              <w:pStyle w:val="NormalWeb"/>
                              <w:rPr>
                                <w:sz w:val="20"/>
                                <w:szCs w:val="20"/>
                              </w:rPr>
                            </w:pPr>
                            <w:r w:rsidRPr="009D54E6">
                              <w:rPr>
                                <w:sz w:val="20"/>
                                <w:szCs w:val="20"/>
                              </w:rPr>
                              <w:t>Individual use of Facebook by students</w:t>
                            </w:r>
                          </w:p>
                          <w:p w14:paraId="045972CA" w14:textId="77777777" w:rsidR="00607782" w:rsidRPr="009D54E6" w:rsidRDefault="00607782" w:rsidP="00607782">
                            <w:pPr>
                              <w:bidi/>
                              <w:rPr>
                                <w:rFonts w:ascii="Sakkal Majalla" w:hAnsi="Sakkal Majalla" w:cs="Sakkal Majalla"/>
                                <w:sz w:val="22"/>
                                <w:szCs w:val="22"/>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98699" id="Rectangle 5" o:spid="_x0000_s1026" style="position:absolute;left:0;text-align:left;margin-left:-5.65pt;margin-top:37.4pt;width:208.5pt;height:1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">
                <v:textbox>
                  <w:txbxContent>
                    <w:p w14:paraId="7F8AA143" w14:textId="77777777" w:rsidR="00607782" w:rsidRPr="009D54E6" w:rsidRDefault="00607782" w:rsidP="00607782">
                      <w:pPr>
                        <w:pStyle w:val="NormalWeb"/>
                        <w:rPr>
                          <w:sz w:val="20"/>
                          <w:szCs w:val="20"/>
                        </w:rPr>
                      </w:pPr>
                      <w:r w:rsidRPr="009D54E6">
                        <w:rPr>
                          <w:sz w:val="20"/>
                          <w:szCs w:val="20"/>
                        </w:rPr>
                        <w:t>Individual use of Facebook by students</w:t>
                      </w:r>
                    </w:p>
                    <w:p w14:paraId="045972CA" w14:textId="77777777" w:rsidR="00607782" w:rsidRPr="009D54E6" w:rsidRDefault="00607782" w:rsidP="00607782">
                      <w:pPr>
                        <w:bidi/>
                        <w:rPr>
                          <w:rFonts w:ascii="Sakkal Majalla" w:hAnsi="Sakkal Majalla" w:cs="Sakkal Majalla"/>
                          <w:sz w:val="22"/>
                          <w:szCs w:val="22"/>
                          <w:lang w:bidi="ar-DZ"/>
                        </w:rPr>
                      </w:pPr>
                    </w:p>
                  </w:txbxContent>
                </v:textbox>
              </v:rect>
            </w:pict>
          </mc:Fallback>
        </mc:AlternateContent>
      </w:r>
      <w:r w:rsidRPr="006E16F9">
        <w:rPr>
          <w:rFonts w:asciiTheme="majorBidi" w:hAnsiTheme="majorBidi" w:cstheme="majorBidi"/>
          <w:b/>
          <w:bCs/>
          <w:sz w:val="22"/>
          <w:szCs w:val="22"/>
        </w:rPr>
        <w:t>Figure 1. Study Model</w:t>
      </w:r>
    </w:p>
    <w:p w14:paraId="25219DF4" w14:textId="53335260" w:rsidR="00607782" w:rsidRPr="006E16F9" w:rsidRDefault="002D33ED" w:rsidP="009411C1">
      <w:pPr>
        <w:spacing w:before="100" w:beforeAutospacing="1" w:after="100" w:afterAutospacing="1" w:line="480" w:lineRule="auto"/>
        <w:ind w:firstLine="810"/>
        <w:jc w:val="both"/>
        <w:rPr>
          <w:rFonts w:asciiTheme="majorBidi" w:hAnsiTheme="majorBidi" w:cstheme="majorBidi"/>
          <w:sz w:val="22"/>
          <w:szCs w:val="22"/>
        </w:rPr>
      </w:pPr>
      <w:r w:rsidRPr="006E16F9">
        <w:rPr>
          <w:rFonts w:asciiTheme="majorBidi" w:hAnsiTheme="majorBidi" w:cstheme="majorBidi"/>
          <w:noProof/>
          <w:sz w:val="22"/>
          <w:szCs w:val="22"/>
          <w:lang w:val="fr-FR" w:eastAsia="fr-FR"/>
        </w:rPr>
        <mc:AlternateContent>
          <mc:Choice Requires="wps">
            <w:drawing>
              <wp:anchor distT="0" distB="0" distL="114300" distR="114300" simplePos="0" relativeHeight="251661312" behindDoc="0" locked="0" layoutInCell="1" allowOverlap="1" wp14:anchorId="62742931" wp14:editId="549DEED8">
                <wp:simplePos x="0" y="0"/>
                <wp:positionH relativeFrom="column">
                  <wp:posOffset>-68580</wp:posOffset>
                </wp:positionH>
                <wp:positionV relativeFrom="paragraph">
                  <wp:posOffset>505460</wp:posOffset>
                </wp:positionV>
                <wp:extent cx="2651125" cy="252000"/>
                <wp:effectExtent l="0" t="0" r="15875" b="15240"/>
                <wp:wrapNone/>
                <wp:docPr id="135067564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1125" cy="252000"/>
                        </a:xfrm>
                        <a:prstGeom prst="rect">
                          <a:avLst/>
                        </a:prstGeom>
                        <a:solidFill>
                          <a:srgbClr val="FFFFFF"/>
                        </a:solidFill>
                        <a:ln w="9525">
                          <a:solidFill>
                            <a:srgbClr val="000000"/>
                          </a:solidFill>
                          <a:miter lim="800000"/>
                          <a:headEnd/>
                          <a:tailEnd/>
                        </a:ln>
                      </wps:spPr>
                      <wps:txbx>
                        <w:txbxContent>
                          <w:p w14:paraId="226AA220" w14:textId="77777777" w:rsidR="00607782" w:rsidRPr="009D54E6" w:rsidRDefault="00607782" w:rsidP="00607782">
                            <w:pPr>
                              <w:pStyle w:val="NormalWeb"/>
                              <w:rPr>
                                <w:sz w:val="20"/>
                                <w:szCs w:val="20"/>
                              </w:rPr>
                            </w:pPr>
                            <w:r w:rsidRPr="009D54E6">
                              <w:rPr>
                                <w:sz w:val="20"/>
                                <w:szCs w:val="20"/>
                              </w:rPr>
                              <w:t>Individual use of Facebook by students</w:t>
                            </w:r>
                          </w:p>
                          <w:p w14:paraId="6FDA7040" w14:textId="77777777" w:rsidR="00607782" w:rsidRPr="009D54E6" w:rsidRDefault="00607782" w:rsidP="00607782">
                            <w:pPr>
                              <w:bidi/>
                              <w:rPr>
                                <w:rFonts w:ascii="Sakkal Majalla" w:hAnsi="Sakkal Majalla" w:cs="Sakkal Majalla"/>
                                <w:sz w:val="22"/>
                                <w:szCs w:val="22"/>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42931" id="Rectangle 3" o:spid="_x0000_s1027" style="position:absolute;left:0;text-align:left;margin-left:-5.4pt;margin-top:39.8pt;width:208.75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">
                <v:textbox>
                  <w:txbxContent>
                    <w:p w14:paraId="226AA220" w14:textId="77777777" w:rsidR="00607782" w:rsidRPr="009D54E6" w:rsidRDefault="00607782" w:rsidP="00607782">
                      <w:pPr>
                        <w:pStyle w:val="NormalWeb"/>
                        <w:rPr>
                          <w:sz w:val="20"/>
                          <w:szCs w:val="20"/>
                        </w:rPr>
                      </w:pPr>
                      <w:r w:rsidRPr="009D54E6">
                        <w:rPr>
                          <w:sz w:val="20"/>
                          <w:szCs w:val="20"/>
                        </w:rPr>
                        <w:t>Individual use of Facebook by students</w:t>
                      </w:r>
                    </w:p>
                    <w:p w14:paraId="6FDA7040" w14:textId="77777777" w:rsidR="00607782" w:rsidRPr="009D54E6" w:rsidRDefault="00607782" w:rsidP="00607782">
                      <w:pPr>
                        <w:bidi/>
                        <w:rPr>
                          <w:rFonts w:ascii="Sakkal Majalla" w:hAnsi="Sakkal Majalla" w:cs="Sakkal Majalla"/>
                          <w:sz w:val="22"/>
                          <w:szCs w:val="22"/>
                          <w:lang w:bidi="ar-DZ"/>
                        </w:rPr>
                      </w:pPr>
                    </w:p>
                  </w:txbxContent>
                </v:textbox>
              </v:rect>
            </w:pict>
          </mc:Fallback>
        </mc:AlternateContent>
      </w:r>
      <w:r w:rsidR="00607782" w:rsidRPr="006E16F9">
        <w:rPr>
          <w:rFonts w:asciiTheme="majorBidi" w:hAnsiTheme="majorBidi" w:cstheme="majorBidi"/>
          <w:noProof/>
          <w:sz w:val="22"/>
          <w:szCs w:val="22"/>
          <w:lang w:val="fr-FR" w:eastAsia="fr-FR"/>
        </w:rPr>
        <mc:AlternateContent>
          <mc:Choice Requires="wps">
            <w:drawing>
              <wp:anchor distT="0" distB="0" distL="114300" distR="114300" simplePos="0" relativeHeight="251659264" behindDoc="0" locked="0" layoutInCell="1" allowOverlap="1" wp14:anchorId="4DA5A1FB" wp14:editId="6643E5C9">
                <wp:simplePos x="0" y="0"/>
                <wp:positionH relativeFrom="column">
                  <wp:posOffset>3779520</wp:posOffset>
                </wp:positionH>
                <wp:positionV relativeFrom="paragraph">
                  <wp:posOffset>129540</wp:posOffset>
                </wp:positionV>
                <wp:extent cx="1362075" cy="683895"/>
                <wp:effectExtent l="0" t="0" r="28575" b="20955"/>
                <wp:wrapNone/>
                <wp:docPr id="184310986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683895"/>
                        </a:xfrm>
                        <a:prstGeom prst="rect">
                          <a:avLst/>
                        </a:prstGeom>
                        <a:solidFill>
                          <a:srgbClr val="FFFFFF"/>
                        </a:solidFill>
                        <a:ln w="9525">
                          <a:solidFill>
                            <a:srgbClr val="000000"/>
                          </a:solidFill>
                          <a:miter lim="800000"/>
                          <a:headEnd/>
                          <a:tailEnd/>
                        </a:ln>
                      </wps:spPr>
                      <wps:txbx>
                        <w:txbxContent>
                          <w:p w14:paraId="5EBBC409" w14:textId="77777777" w:rsidR="00607782" w:rsidRPr="009D54E6" w:rsidRDefault="00607782" w:rsidP="00607782">
                            <w:pPr>
                              <w:bidi/>
                              <w:jc w:val="center"/>
                              <w:rPr>
                                <w:rFonts w:ascii="Sakkal Majalla" w:hAnsi="Sakkal Majalla" w:cs="Sakkal Majalla"/>
                                <w:sz w:val="22"/>
                                <w:szCs w:val="22"/>
                                <w:rtl/>
                                <w:lang w:bidi="ar-DZ"/>
                              </w:rPr>
                            </w:pPr>
                          </w:p>
                          <w:p w14:paraId="645C8514" w14:textId="77777777" w:rsidR="00607782" w:rsidRPr="009D54E6" w:rsidRDefault="00607782" w:rsidP="00607782">
                            <w:pPr>
                              <w:bidi/>
                              <w:jc w:val="center"/>
                              <w:rPr>
                                <w:rFonts w:ascii="Sakkal Majalla" w:hAnsi="Sakkal Majalla" w:cs="Sakkal Majalla"/>
                                <w:sz w:val="22"/>
                                <w:szCs w:val="22"/>
                                <w:lang w:bidi="ar-DZ"/>
                              </w:rPr>
                            </w:pPr>
                            <w:r w:rsidRPr="009D54E6">
                              <w:rPr>
                                <w:sz w:val="16"/>
                                <w:szCs w:val="16"/>
                              </w:rPr>
                              <w:t>Learning Banking Sciences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A5A1FB" id="Rectangle 6" o:spid="_x0000_s1028" style="position:absolute;left:0;text-align:left;margin-left:297.6pt;margin-top:10.2pt;width:107.25pt;height:5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">
                <v:textbox>
                  <w:txbxContent>
                    <w:p w14:paraId="5EBBC409" w14:textId="77777777" w:rsidR="00607782" w:rsidRPr="009D54E6" w:rsidRDefault="00607782" w:rsidP="00607782">
                      <w:pPr>
                        <w:bidi/>
                        <w:jc w:val="center"/>
                        <w:rPr>
                          <w:rFonts w:ascii="Sakkal Majalla" w:hAnsi="Sakkal Majalla" w:cs="Sakkal Majalla"/>
                          <w:sz w:val="22"/>
                          <w:szCs w:val="22"/>
                          <w:rtl/>
                          <w:lang w:bidi="ar-DZ"/>
                        </w:rPr>
                      </w:pPr>
                    </w:p>
                    <w:p w14:paraId="645C8514" w14:textId="77777777" w:rsidR="00607782" w:rsidRPr="009D54E6" w:rsidRDefault="00607782" w:rsidP="00607782">
                      <w:pPr>
                        <w:bidi/>
                        <w:jc w:val="center"/>
                        <w:rPr>
                          <w:rFonts w:ascii="Sakkal Majalla" w:hAnsi="Sakkal Majalla" w:cs="Sakkal Majalla"/>
                          <w:sz w:val="22"/>
                          <w:szCs w:val="22"/>
                          <w:lang w:bidi="ar-DZ"/>
                        </w:rPr>
                      </w:pPr>
                      <w:r w:rsidRPr="009D54E6">
                        <w:rPr>
                          <w:sz w:val="16"/>
                          <w:szCs w:val="16"/>
                        </w:rPr>
                        <w:t>Learning Banking Sciences</w:t>
                      </w:r>
                    </w:p>
                  </w:txbxContent>
                </v:textbox>
              </v:rect>
            </w:pict>
          </mc:Fallback>
        </mc:AlternateContent>
      </w:r>
      <w:r w:rsidR="00607782" w:rsidRPr="006E16F9">
        <w:rPr>
          <w:rFonts w:asciiTheme="majorBidi" w:hAnsiTheme="majorBidi" w:cstheme="majorBidi"/>
          <w:noProof/>
          <w:sz w:val="22"/>
          <w:szCs w:val="22"/>
          <w:lang w:val="fr-FR" w:eastAsia="fr-FR"/>
        </w:rPr>
        <mc:AlternateContent>
          <mc:Choice Requires="wps">
            <w:drawing>
              <wp:anchor distT="0" distB="0" distL="114300" distR="114300" simplePos="0" relativeHeight="251664384" behindDoc="0" locked="0" layoutInCell="1" allowOverlap="1" wp14:anchorId="55D3346C" wp14:editId="53AB0A78">
                <wp:simplePos x="0" y="0"/>
                <wp:positionH relativeFrom="column">
                  <wp:posOffset>2584919</wp:posOffset>
                </wp:positionH>
                <wp:positionV relativeFrom="paragraph">
                  <wp:posOffset>145415</wp:posOffset>
                </wp:positionV>
                <wp:extent cx="1188361" cy="277164"/>
                <wp:effectExtent l="0" t="0" r="69215" b="85090"/>
                <wp:wrapNone/>
                <wp:docPr id="1275650367" name="Straight Arrow Connector 1"/>
                <wp:cNvGraphicFramePr/>
                <a:graphic xmlns:a="http://schemas.openxmlformats.org/drawingml/2006/main">
                  <a:graphicData uri="http://schemas.microsoft.com/office/word/2010/wordprocessingShape">
                    <wps:wsp>
                      <wps:cNvCnPr/>
                      <wps:spPr>
                        <a:xfrm>
                          <a:off x="0" y="0"/>
                          <a:ext cx="1188361" cy="27716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2E1A070" id="_x0000_t32" coordsize="21600,21600" o:spt="32" o:oned="t" path="m,l21600,21600e" filled="f">
                <v:path arrowok="t" fillok="f" o:connecttype="none"/>
                <o:lock v:ext="edit" shapetype="t"/>
              </v:shapetype>
              <v:shape id="Straight Arrow Connector 1" o:spid="_x0000_s1026" type="#_x0000_t32" style="position:absolute;margin-left:203.55pt;margin-top:11.45pt;width:93.55pt;height:2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" strokecolor="black [3213]" strokeweight=".5pt">
                <v:stroke endarrow="block" joinstyle="miter"/>
              </v:shape>
            </w:pict>
          </mc:Fallback>
        </mc:AlternateContent>
      </w:r>
    </w:p>
    <w:p w14:paraId="15B55597" w14:textId="3DECF47A" w:rsidR="00607782" w:rsidRPr="006E16F9" w:rsidRDefault="002D33ED" w:rsidP="009411C1">
      <w:pPr>
        <w:spacing w:before="100" w:beforeAutospacing="1" w:after="100" w:afterAutospacing="1" w:line="480" w:lineRule="auto"/>
        <w:ind w:firstLine="810"/>
        <w:jc w:val="both"/>
        <w:rPr>
          <w:rFonts w:asciiTheme="majorBidi" w:hAnsiTheme="majorBidi" w:cstheme="majorBidi"/>
          <w:sz w:val="22"/>
          <w:szCs w:val="22"/>
        </w:rPr>
      </w:pPr>
      <w:r w:rsidRPr="006E16F9">
        <w:rPr>
          <w:rFonts w:asciiTheme="majorBidi" w:hAnsiTheme="majorBidi" w:cstheme="majorBidi"/>
          <w:noProof/>
          <w:sz w:val="22"/>
          <w:szCs w:val="22"/>
          <w:lang w:val="fr-FR" w:eastAsia="fr-FR"/>
        </w:rPr>
        <mc:AlternateContent>
          <mc:Choice Requires="wps">
            <w:drawing>
              <wp:anchor distT="0" distB="0" distL="114300" distR="114300" simplePos="0" relativeHeight="251663360" behindDoc="0" locked="0" layoutInCell="1" allowOverlap="1" wp14:anchorId="792EB481" wp14:editId="55AB1633">
                <wp:simplePos x="0" y="0"/>
                <wp:positionH relativeFrom="column">
                  <wp:posOffset>2586355</wp:posOffset>
                </wp:positionH>
                <wp:positionV relativeFrom="paragraph">
                  <wp:posOffset>77470</wp:posOffset>
                </wp:positionV>
                <wp:extent cx="1196340" cy="0"/>
                <wp:effectExtent l="0" t="76200" r="22860" b="95250"/>
                <wp:wrapNone/>
                <wp:docPr id="2113424282" name="Straight Arrow Connector 1"/>
                <wp:cNvGraphicFramePr/>
                <a:graphic xmlns:a="http://schemas.openxmlformats.org/drawingml/2006/main">
                  <a:graphicData uri="http://schemas.microsoft.com/office/word/2010/wordprocessingShape">
                    <wps:wsp>
                      <wps:cNvCnPr/>
                      <wps:spPr>
                        <a:xfrm>
                          <a:off x="0" y="0"/>
                          <a:ext cx="119634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B6A3B9" id="Straight Arrow Connector 1" o:spid="_x0000_s1026" type="#_x0000_t32" style="position:absolute;margin-left:203.65pt;margin-top:6.1pt;width:94.2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" strokecolor="black [3213]" strokeweight=".5pt">
                <v:stroke endarrow="block" joinstyle="miter"/>
              </v:shape>
            </w:pict>
          </mc:Fallback>
        </mc:AlternateContent>
      </w:r>
      <w:r w:rsidR="00607782" w:rsidRPr="006E16F9">
        <w:rPr>
          <w:rFonts w:asciiTheme="majorBidi" w:hAnsiTheme="majorBidi" w:cstheme="majorBidi"/>
          <w:noProof/>
          <w:sz w:val="22"/>
          <w:szCs w:val="22"/>
          <w:lang w:val="fr-FR" w:eastAsia="fr-FR"/>
        </w:rPr>
        <mc:AlternateContent>
          <mc:Choice Requires="wps">
            <w:drawing>
              <wp:anchor distT="0" distB="0" distL="114300" distR="114300" simplePos="0" relativeHeight="251665408" behindDoc="0" locked="0" layoutInCell="1" allowOverlap="1" wp14:anchorId="17A79E57" wp14:editId="32902876">
                <wp:simplePos x="0" y="0"/>
                <wp:positionH relativeFrom="column">
                  <wp:posOffset>2581275</wp:posOffset>
                </wp:positionH>
                <wp:positionV relativeFrom="paragraph">
                  <wp:posOffset>229235</wp:posOffset>
                </wp:positionV>
                <wp:extent cx="1180465" cy="299720"/>
                <wp:effectExtent l="0" t="57150" r="0" b="24130"/>
                <wp:wrapNone/>
                <wp:docPr id="1367177266" name="Straight Arrow Connector 1"/>
                <wp:cNvGraphicFramePr/>
                <a:graphic xmlns:a="http://schemas.openxmlformats.org/drawingml/2006/main">
                  <a:graphicData uri="http://schemas.microsoft.com/office/word/2010/wordprocessingShape">
                    <wps:wsp>
                      <wps:cNvCnPr/>
                      <wps:spPr>
                        <a:xfrm flipV="1">
                          <a:off x="0" y="0"/>
                          <a:ext cx="1180465" cy="2997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4AADF2" id="Straight Arrow Connector 1" o:spid="_x0000_s1026" type="#_x0000_t32" style="position:absolute;margin-left:203.25pt;margin-top:18.05pt;width:92.95pt;height:23.6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" strokecolor="black [3213]" strokeweight=".5pt">
                <v:stroke endarrow="block" joinstyle="miter"/>
              </v:shape>
            </w:pict>
          </mc:Fallback>
        </mc:AlternateContent>
      </w:r>
      <w:r w:rsidR="00607782" w:rsidRPr="006E16F9">
        <w:rPr>
          <w:rFonts w:asciiTheme="majorBidi" w:hAnsiTheme="majorBidi" w:cstheme="majorBidi"/>
          <w:noProof/>
          <w:sz w:val="22"/>
          <w:szCs w:val="22"/>
          <w:lang w:val="fr-FR" w:eastAsia="fr-FR"/>
        </w:rPr>
        <mc:AlternateContent>
          <mc:Choice Requires="wps">
            <w:drawing>
              <wp:anchor distT="0" distB="0" distL="114300" distR="114300" simplePos="0" relativeHeight="251662336" behindDoc="0" locked="0" layoutInCell="1" allowOverlap="1" wp14:anchorId="2FD0495B" wp14:editId="649AE400">
                <wp:simplePos x="0" y="0"/>
                <wp:positionH relativeFrom="column">
                  <wp:posOffset>-74930</wp:posOffset>
                </wp:positionH>
                <wp:positionV relativeFrom="paragraph">
                  <wp:posOffset>365760</wp:posOffset>
                </wp:positionV>
                <wp:extent cx="2651125" cy="252000"/>
                <wp:effectExtent l="0" t="0" r="15875" b="15240"/>
                <wp:wrapNone/>
                <wp:docPr id="12135648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1125" cy="252000"/>
                        </a:xfrm>
                        <a:prstGeom prst="rect">
                          <a:avLst/>
                        </a:prstGeom>
                        <a:solidFill>
                          <a:srgbClr val="FFFFFF"/>
                        </a:solidFill>
                        <a:ln w="9525">
                          <a:solidFill>
                            <a:srgbClr val="000000"/>
                          </a:solidFill>
                          <a:miter lim="800000"/>
                          <a:headEnd/>
                          <a:tailEnd/>
                        </a:ln>
                      </wps:spPr>
                      <wps:txbx>
                        <w:txbxContent>
                          <w:p w14:paraId="73708493" w14:textId="77777777" w:rsidR="00607782" w:rsidRPr="009D54E6" w:rsidRDefault="00607782" w:rsidP="00607782">
                            <w:pPr>
                              <w:pStyle w:val="NormalWeb"/>
                              <w:rPr>
                                <w:sz w:val="20"/>
                                <w:szCs w:val="20"/>
                              </w:rPr>
                            </w:pPr>
                            <w:r w:rsidRPr="009D54E6">
                              <w:rPr>
                                <w:sz w:val="20"/>
                                <w:szCs w:val="20"/>
                              </w:rPr>
                              <w:t>Individual use of Facebook by students</w:t>
                            </w:r>
                          </w:p>
                          <w:p w14:paraId="3E9AF7A2" w14:textId="77777777" w:rsidR="00607782" w:rsidRPr="009D54E6" w:rsidRDefault="00607782" w:rsidP="00607782">
                            <w:pPr>
                              <w:bidi/>
                              <w:rPr>
                                <w:rFonts w:ascii="Sakkal Majalla" w:hAnsi="Sakkal Majalla" w:cs="Sakkal Majalla"/>
                                <w:sz w:val="22"/>
                                <w:szCs w:val="22"/>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D0495B" id="Rectangle 1" o:spid="_x0000_s1029" style="position:absolute;left:0;text-align:left;margin-left:-5.9pt;margin-top:28.8pt;width:208.75pt;height:1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">
                <v:textbox>
                  <w:txbxContent>
                    <w:p w14:paraId="73708493" w14:textId="77777777" w:rsidR="00607782" w:rsidRPr="009D54E6" w:rsidRDefault="00607782" w:rsidP="00607782">
                      <w:pPr>
                        <w:pStyle w:val="NormalWeb"/>
                        <w:rPr>
                          <w:sz w:val="20"/>
                          <w:szCs w:val="20"/>
                        </w:rPr>
                      </w:pPr>
                      <w:r w:rsidRPr="009D54E6">
                        <w:rPr>
                          <w:sz w:val="20"/>
                          <w:szCs w:val="20"/>
                        </w:rPr>
                        <w:t>Individual use of Facebook by students</w:t>
                      </w:r>
                    </w:p>
                    <w:p w14:paraId="3E9AF7A2" w14:textId="77777777" w:rsidR="00607782" w:rsidRPr="009D54E6" w:rsidRDefault="00607782" w:rsidP="00607782">
                      <w:pPr>
                        <w:bidi/>
                        <w:rPr>
                          <w:rFonts w:ascii="Sakkal Majalla" w:hAnsi="Sakkal Majalla" w:cs="Sakkal Majalla"/>
                          <w:sz w:val="22"/>
                          <w:szCs w:val="22"/>
                          <w:lang w:bidi="ar-DZ"/>
                        </w:rPr>
                      </w:pPr>
                    </w:p>
                  </w:txbxContent>
                </v:textbox>
              </v:rect>
            </w:pict>
          </mc:Fallback>
        </mc:AlternateContent>
      </w:r>
    </w:p>
    <w:p w14:paraId="0B067560" w14:textId="77777777" w:rsidR="00607782" w:rsidRPr="006E16F9" w:rsidRDefault="00607782" w:rsidP="009411C1">
      <w:pPr>
        <w:spacing w:before="240" w:line="480" w:lineRule="auto"/>
        <w:jc w:val="both"/>
        <w:rPr>
          <w:rFonts w:asciiTheme="majorBidi" w:hAnsiTheme="majorBidi" w:cstheme="majorBidi"/>
          <w:sz w:val="22"/>
          <w:szCs w:val="22"/>
        </w:rPr>
      </w:pPr>
    </w:p>
    <w:p w14:paraId="6BCD902A" w14:textId="17A419F6" w:rsidR="007D6331" w:rsidRPr="006E16F9" w:rsidRDefault="007D6331" w:rsidP="007D6331">
      <w:pPr>
        <w:spacing w:line="480" w:lineRule="auto"/>
        <w:rPr>
          <w:rFonts w:eastAsia="Calibri"/>
          <w:sz w:val="22"/>
          <w:szCs w:val="22"/>
          <w:lang w:eastAsia="en-US"/>
        </w:rPr>
      </w:pPr>
      <w:r w:rsidRPr="006E16F9">
        <w:rPr>
          <w:rFonts w:eastAsia="Calibri"/>
          <w:sz w:val="22"/>
          <w:szCs w:val="22"/>
          <w:lang w:eastAsia="en-US"/>
        </w:rPr>
        <w:t>Source: Developed by the researchers.</w:t>
      </w:r>
    </w:p>
    <w:p w14:paraId="11D19089" w14:textId="77777777" w:rsidR="00607782" w:rsidRPr="006E16F9" w:rsidRDefault="00607782" w:rsidP="007D633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In alignment with the proffered model, a series of hypotheses have been formulated as follows:</w:t>
      </w:r>
    </w:p>
    <w:p w14:paraId="2FA29523" w14:textId="77777777" w:rsidR="00607782" w:rsidRPr="006E16F9" w:rsidRDefault="00607782" w:rsidP="007D6331">
      <w:pPr>
        <w:spacing w:line="480" w:lineRule="auto"/>
        <w:jc w:val="both"/>
        <w:rPr>
          <w:rFonts w:asciiTheme="majorBidi" w:hAnsiTheme="majorBidi" w:cstheme="majorBidi"/>
          <w:sz w:val="22"/>
          <w:szCs w:val="22"/>
        </w:rPr>
      </w:pPr>
      <w:r w:rsidRPr="006E16F9">
        <w:rPr>
          <w:rFonts w:asciiTheme="majorBidi" w:hAnsiTheme="majorBidi" w:cstheme="majorBidi"/>
          <w:b/>
          <w:bCs/>
          <w:sz w:val="22"/>
          <w:szCs w:val="22"/>
        </w:rPr>
        <w:t>Hypothesis 1:</w:t>
      </w:r>
      <w:r w:rsidRPr="006E16F9">
        <w:rPr>
          <w:rFonts w:asciiTheme="majorBidi" w:hAnsiTheme="majorBidi" w:cstheme="majorBidi"/>
          <w:sz w:val="22"/>
          <w:szCs w:val="22"/>
        </w:rPr>
        <w:t xml:space="preserve"> A significant proportion of students employ Facebook individually as a learning tool for banking sciences, with a 5% significance level.</w:t>
      </w:r>
    </w:p>
    <w:p w14:paraId="0B40307E" w14:textId="77777777" w:rsidR="00607782" w:rsidRPr="006E16F9" w:rsidRDefault="00607782" w:rsidP="007D6331">
      <w:pPr>
        <w:spacing w:line="480" w:lineRule="auto"/>
        <w:jc w:val="both"/>
        <w:rPr>
          <w:rFonts w:asciiTheme="majorBidi" w:hAnsiTheme="majorBidi" w:cstheme="majorBidi"/>
          <w:sz w:val="22"/>
          <w:szCs w:val="22"/>
        </w:rPr>
      </w:pPr>
      <w:r w:rsidRPr="006E16F9">
        <w:rPr>
          <w:rFonts w:asciiTheme="majorBidi" w:hAnsiTheme="majorBidi" w:cstheme="majorBidi"/>
          <w:b/>
          <w:bCs/>
          <w:sz w:val="22"/>
          <w:szCs w:val="22"/>
        </w:rPr>
        <w:t>Hypothesis 2:</w:t>
      </w:r>
      <w:r w:rsidRPr="006E16F9">
        <w:rPr>
          <w:rFonts w:asciiTheme="majorBidi" w:hAnsiTheme="majorBidi" w:cstheme="majorBidi"/>
          <w:sz w:val="22"/>
          <w:szCs w:val="22"/>
        </w:rPr>
        <w:t xml:space="preserve"> A substantial degree of interactive engagement transpires between students and their peers on Facebook to pursue banking sciences knowledge, adhering to a 5% significance threshold.</w:t>
      </w:r>
    </w:p>
    <w:p w14:paraId="215F72D8" w14:textId="466BB108" w:rsidR="00CA25DC" w:rsidRPr="006E16F9" w:rsidRDefault="00607782" w:rsidP="009411C1">
      <w:pPr>
        <w:spacing w:line="480" w:lineRule="auto"/>
        <w:jc w:val="both"/>
        <w:rPr>
          <w:rFonts w:asciiTheme="majorBidi" w:hAnsiTheme="majorBidi" w:cstheme="majorBidi"/>
          <w:sz w:val="22"/>
          <w:szCs w:val="22"/>
          <w:rtl/>
        </w:rPr>
      </w:pPr>
      <w:r w:rsidRPr="006E16F9">
        <w:rPr>
          <w:rFonts w:asciiTheme="majorBidi" w:hAnsiTheme="majorBidi" w:cstheme="majorBidi"/>
          <w:b/>
          <w:bCs/>
          <w:sz w:val="22"/>
          <w:szCs w:val="22"/>
        </w:rPr>
        <w:t>Hypothesis 3:</w:t>
      </w:r>
      <w:r w:rsidRPr="006E16F9">
        <w:rPr>
          <w:rFonts w:asciiTheme="majorBidi" w:hAnsiTheme="majorBidi" w:cstheme="majorBidi"/>
          <w:sz w:val="22"/>
          <w:szCs w:val="22"/>
        </w:rPr>
        <w:t xml:space="preserve"> A notable extent of interactive utilisation of Facebook occurs between students and their professors in the educational context of banking sciences, with adherence to a 5% significance level.</w:t>
      </w:r>
      <w:bookmarkEnd w:id="1"/>
    </w:p>
    <w:p w14:paraId="7A79A8EF" w14:textId="7C01DD8E" w:rsidR="00C142F9" w:rsidRPr="006E16F9" w:rsidRDefault="00C142F9" w:rsidP="009411C1">
      <w:pPr>
        <w:spacing w:line="480" w:lineRule="auto"/>
        <w:jc w:val="both"/>
        <w:rPr>
          <w:rFonts w:asciiTheme="majorBidi" w:hAnsiTheme="majorBidi" w:cstheme="majorBidi"/>
          <w:b/>
          <w:bCs/>
          <w:sz w:val="22"/>
          <w:szCs w:val="22"/>
        </w:rPr>
      </w:pPr>
      <w:r w:rsidRPr="006E16F9">
        <w:rPr>
          <w:rFonts w:asciiTheme="majorBidi" w:hAnsiTheme="majorBidi" w:cstheme="majorBidi"/>
          <w:b/>
          <w:bCs/>
          <w:sz w:val="22"/>
          <w:szCs w:val="22"/>
        </w:rPr>
        <w:lastRenderedPageBreak/>
        <w:t>Literature Review</w:t>
      </w:r>
    </w:p>
    <w:p w14:paraId="5AAEB1B6"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In recent history, academic studies on social media and its impacts have been very scarce due to the novelty of the subject matter. Nonetheless, in the past decade, there has been a marked increase in scholarly attention devoted to this subject matter, with eminent researchers from diverse academic disciplines directing their investigative efforts towards elucidating the complexities and ramifications of social media. Researchers have had the opportunity to pursue extensive studies in this domain. In light of the sheer volume of available literature and to maintain relevance to the core research topic, this analysis will primarily hone in on seminal studies that have scrutinised the adoption of the social networking site Facebook by students from a multitude of global universities, exploring its utility and efficacy as a contemporary pedagogical instrument.</w:t>
      </w:r>
    </w:p>
    <w:p w14:paraId="7AE4865B"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One of the pioneering papers that sought to establish a correlation between social media and the educational milieu is the inquiry conducted by Ophus and Abbitt in 2009. This research was predicated on unravelling the prospective perceptions of individuals concerning the contribution of social networks to tertiary education. In pursuit of this objective, the scholars surveyed a cohort comprising 110 biology students enrolled at Midwestern University in the United States. The empirical findings disclosed that 95% of the participants engaged with social networking platforms. Even so, the tangible benefits of incorporating these platforms in pedagogical settings remained elusive. Therefore, any integration of social networking sites within educational contexts must be meticulously calibrated to align with the aspirational and perceptual frameworks of the student populace, thereby facilitating the realisation of their academic goals.</w:t>
      </w:r>
    </w:p>
    <w:p w14:paraId="2C0338D6"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A subsequent study by Karbinski in 2010 sought to elucidate the implications of utilising the social networking site Facebook on the scholastic accomplishments of university students in the United States. The investigation was operationalised on a sample comprising 219 students from various universities in New York. The findings predominantly pointed towards an inverse correlation between the frequency of Facebook engagement and the student's academic outcomes.</w:t>
      </w:r>
    </w:p>
    <w:p w14:paraId="12A83340"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 xml:space="preserve">Similarly, an exploration undertaken by Arquero and Romero-Frias in 2011 was instrumental in delineating the degree to which social networking sites are employed by Spanish students in the higher education ecosystem, with a particular emphasis on their role in honing foundational academic </w:t>
      </w:r>
      <w:r w:rsidRPr="006E16F9">
        <w:rPr>
          <w:rFonts w:asciiTheme="majorBidi" w:hAnsiTheme="majorBidi" w:cstheme="majorBidi"/>
          <w:sz w:val="22"/>
          <w:szCs w:val="22"/>
          <w:lang w:eastAsia="en-US"/>
        </w:rPr>
        <w:lastRenderedPageBreak/>
        <w:t>competencies. This study, encompassing a sample of 105 students, unveiled that social networking platforms significantly augmented the levels of interaction amongst the student body and between students and faculty members. Furthermore, an exciting revelation from this study was that students who exhibited a high propensity for integrating social networking sites into their educational regimen tended to outperform their counterparts who demonstrated a more tepid engagement with these digital platforms.</w:t>
      </w:r>
    </w:p>
    <w:p w14:paraId="59C2D8FE"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Continuing in a similar trajectory as the investigation, a research endeavour executed by Rouis et al. (2011) was pivotal in illuminating the impact of Facebook utilisation on enhancing academic performance among university students in Sweden. The methodological approach involved surveying 239 Lulea University of Technology students. Contrary to some of the previous findings, the results of this study indicated that social networking sites, including Facebook, did not substantially impact students’ academic achievements. It was also highlighted that students with a higher degree of self-organisation were more adept at managing their academic-related activities on Facebook than their peers.</w:t>
      </w:r>
    </w:p>
    <w:p w14:paraId="230B71B3"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Furthermore, a research study conducted by Thuseethan and Kuhanesan in 2014 endeavoured to elucidate the ramifications of Facebook as a social networking platform on the academic performance of university students in Sri Lanka. To fulfil this objective, the researchers devised a questionnaire, which was then disseminated to a representative sample of 250 students from various universities across Sri Lanka. Upon subjecting the gathered data to rigorous statistical analysis, the findings indicated a negative correlation between excessive Facebook usage and academic performance—this increases students' need to wield Facebook judiciously and strategically to bolster their academic success.</w:t>
      </w:r>
    </w:p>
    <w:p w14:paraId="0915A950"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On a parallel note, Wanjohi et al. (2015) embarked on a study to scrutinise the influence of self-regulatory practices in using Facebook on the academic performance of university students in Kenya. The sample for this study comprised 348 students enrolled in various Kenyan universities. The results elucidated a moderate correlation between self-regulation in Facebook usage and academic performance among the Kenyan university student population. This revelation holds implications for developing strategies to foster self-regulatory practices among students to optimise their scholarly output.</w:t>
      </w:r>
    </w:p>
    <w:p w14:paraId="1F0D07E7"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lastRenderedPageBreak/>
        <w:t>In contrast, the study conducted by Fitri (2017) aimed to compare the use of Facebook by students and teachers in higher education. For this purpose, the researcher surveyed a sample consisting of 378 participants from three universities in Indonesia. The study concluded that both students and teachers agreed on the importance of Facebook in supporting the educational process, as it can be used to exchange information files more rapidly. However, teachers had explicit reservations regarding the use of chat features in education, unlike students who strongly supported the use of this feature.</w:t>
      </w:r>
    </w:p>
    <w:p w14:paraId="51F4F857"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Within the Arabic context, it has been observed that most of the prior research on this subject matter is recent. One of the most contemporary studies in this domain was conducted by Yousef and Yousef (2022), which aimed to illuminate the effects of Facebook on higher education and student academic performance. To fulfil the study's objectives, the researchers surveyed 318 students from the University of Jordan. The study's findings posited that using Facebook as a tool for communication, sharing educational resources, and fostering collaboration among students plays a pivotal role in influencing their academic performance.</w:t>
      </w:r>
    </w:p>
    <w:p w14:paraId="3DE81020"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On a local level, akin to the studies in the Arabic domain, the investigations that have tackled this topic are also recent. Notably, most of these regional studies are composed in Arabic and French, while those penned in English are markedly few. When perusing the Algerian platform for scientific journals (ASJP), an electronic repository of all peer-reviewed Algerian journals, it becomes evident that previous research linking social networking sites to educational processes or academic achievements in English is limited. Excluding studies that have correlated social networking sites with other variables incongruent with our research topics, such as marketing, tourism, organisational performance, addiction, and political and religious orientations, there remains a negligible number (merely five studies) of local investigations, penned in English, that have explored the intersection between the usage of social networking sites by students and their academic pursuits.</w:t>
      </w:r>
    </w:p>
    <w:p w14:paraId="0ABF7265"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 xml:space="preserve">One of the most recent local studies is the study by Kemmouche (2021), which aimed to understand the impact of social networking sites on information literacy skills and academic achievement of master's students in the English department at the University of Constantine 1. The researcher surveyed a sample of 78 students and 16 professors in the department. The study concluded that using social networking sites does not guarantee that students will acquire the necessary information literacy skills and that </w:t>
      </w:r>
      <w:r w:rsidRPr="006E16F9">
        <w:rPr>
          <w:rFonts w:asciiTheme="majorBidi" w:hAnsiTheme="majorBidi" w:cstheme="majorBidi"/>
          <w:sz w:val="22"/>
          <w:szCs w:val="22"/>
          <w:lang w:eastAsia="en-US"/>
        </w:rPr>
        <w:lastRenderedPageBreak/>
        <w:t>improving students' performance in information literacy skills will enhance their academic achievement.</w:t>
      </w:r>
    </w:p>
    <w:p w14:paraId="6D944D34"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The study by Djafri and Kaouli (2018) attempted to reveal the importance of using social networking sites in helping students master foreign languages, especially English. To achieve the purpose of the study, a sample of 60 students and professors in the English department at the University of Batna 2 was surveyed. The study concluded that using social networking sites is an effective educational method for developing students' vocabulary, and therefore, teachers need to adapt social networking sites to the academic environment in a way that helps students build their vocabulary in a comfortable and enjoyable atmosphere.</w:t>
      </w:r>
    </w:p>
    <w:p w14:paraId="6D62ACCA"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As for the use of information technology in general, and social networking sites in particular, in the teaching of banking sciences, previous studies in this field are rare. In a recent survey by Reavis (2021), the aim was to develop American students' awareness of the nature of banking work for students specialising in banking. After analysis and discussion, it was concluded that reliance on the Internet (online classrooms) contributes clearly to improving the process of teaching banking sciences, as it ultimately leads to an increase in student satisfaction with the educational process by raising their levels of participation and making them feel more connected with their peers and a greater sense of belonging to the community.</w:t>
      </w:r>
    </w:p>
    <w:p w14:paraId="7D8BA69C"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In a field closely related to banking sciences, which is the field of business administration, a study by Chukwudi and Constance (2015) sought to analyse the effects of students' use of social media on the academic performance of business administration education in Nigeria. To achieve this, a questionnaire was designed to survey the opinions of a sample consisting of 520 students in Southeast Nigeria. The results showed that students use Facebook as a tool for learning business administration sciences more than other social media sites. Furthermore, the researchers recommended expanding Facebook and creating new pages to enhance students' academic activities.</w:t>
      </w:r>
    </w:p>
    <w:p w14:paraId="718397CB" w14:textId="77777777" w:rsidR="00C142F9" w:rsidRPr="006E16F9" w:rsidRDefault="00C142F9"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 xml:space="preserve">Similarly, within the field of business administration, another study conducted by Bharucha (2018) sought to investigate the role of social media in supporting higher education in India. To prove this, the researcher conducted a survey study on a stratified random sample consisting of 568 Indian students using an electronic questionnaire. The researcher also conducted a qualitative exploratory study through </w:t>
      </w:r>
      <w:r w:rsidRPr="006E16F9">
        <w:rPr>
          <w:rFonts w:asciiTheme="majorBidi" w:hAnsiTheme="majorBidi" w:cstheme="majorBidi"/>
          <w:sz w:val="22"/>
          <w:szCs w:val="22"/>
          <w:lang w:eastAsia="en-US"/>
        </w:rPr>
        <w:lastRenderedPageBreak/>
        <w:t>in-depth interviews with 250 students majoring in business administration. The results showed the extensive use of social media by the surveyed students and that using these sites was very beneficial in teaching and learning business administration sciences.</w:t>
      </w:r>
    </w:p>
    <w:p w14:paraId="65C5804A" w14:textId="3CEFFB71" w:rsidR="00CA25DC" w:rsidRPr="006E16F9" w:rsidRDefault="002946C2" w:rsidP="009411C1">
      <w:pPr>
        <w:spacing w:line="480" w:lineRule="auto"/>
        <w:rPr>
          <w:rFonts w:asciiTheme="majorBidi" w:hAnsiTheme="majorBidi" w:cstheme="majorBidi"/>
          <w:sz w:val="22"/>
          <w:szCs w:val="22"/>
        </w:rPr>
      </w:pPr>
      <w:r w:rsidRPr="006E16F9">
        <w:rPr>
          <w:rFonts w:asciiTheme="majorBidi" w:hAnsiTheme="majorBidi" w:cstheme="majorBidi"/>
          <w:b/>
          <w:bCs/>
          <w:sz w:val="22"/>
          <w:szCs w:val="22"/>
        </w:rPr>
        <w:t>Material and Methods</w:t>
      </w:r>
    </w:p>
    <w:p w14:paraId="64D77D15" w14:textId="27DB3225" w:rsidR="00CA25DC" w:rsidRPr="006E16F9" w:rsidRDefault="002946C2" w:rsidP="009411C1">
      <w:pPr>
        <w:spacing w:line="480" w:lineRule="auto"/>
        <w:rPr>
          <w:rFonts w:asciiTheme="majorBidi" w:hAnsiTheme="majorBidi" w:cstheme="majorBidi"/>
          <w:i/>
          <w:iCs/>
          <w:sz w:val="22"/>
          <w:szCs w:val="22"/>
        </w:rPr>
      </w:pPr>
      <w:r w:rsidRPr="006E16F9">
        <w:rPr>
          <w:rFonts w:asciiTheme="majorBidi" w:hAnsiTheme="majorBidi" w:cstheme="majorBidi"/>
          <w:b/>
          <w:bCs/>
          <w:i/>
          <w:iCs/>
          <w:sz w:val="22"/>
          <w:szCs w:val="22"/>
        </w:rPr>
        <w:t>Study Design and Sources</w:t>
      </w:r>
    </w:p>
    <w:p w14:paraId="54B870EC" w14:textId="661C50CB"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Given that the primary purpose of this study is to understand the extent to which students at Badji Mokhtar – Annaba University use the social networking site Facebook in education, the most suitable methodology for achieving this is the descriptive approach. This approach allows for an accurate and beneficial description and analysis of the various dimensions of the phenomenon under study. As for data and information sources, researchers relied on previous studies, books, journals, dissertations, theses, and research to build the theoretical aspect. On the empirical side, the researchers primarily relied on a questionnaire they developed to measure the levels of student's use of Facebook in learning banking sciences.</w:t>
      </w:r>
    </w:p>
    <w:p w14:paraId="5B9DE316" w14:textId="1F1F7B21" w:rsidR="00CA25DC" w:rsidRPr="006E16F9" w:rsidRDefault="002946C2" w:rsidP="009411C1">
      <w:pPr>
        <w:spacing w:line="480" w:lineRule="auto"/>
        <w:rPr>
          <w:rFonts w:asciiTheme="majorBidi" w:hAnsiTheme="majorBidi" w:cstheme="majorBidi"/>
          <w:i/>
          <w:iCs/>
          <w:sz w:val="22"/>
          <w:szCs w:val="22"/>
        </w:rPr>
      </w:pPr>
      <w:r w:rsidRPr="006E16F9">
        <w:rPr>
          <w:rFonts w:asciiTheme="majorBidi" w:hAnsiTheme="majorBidi" w:cstheme="majorBidi"/>
          <w:b/>
          <w:bCs/>
          <w:i/>
          <w:iCs/>
          <w:sz w:val="22"/>
          <w:szCs w:val="22"/>
        </w:rPr>
        <w:t>Population and Sample of the Study</w:t>
      </w:r>
    </w:p>
    <w:p w14:paraId="531DA8AB" w14:textId="20328C95" w:rsidR="00CA25DC"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The study population consists of all students at Badji Mokhtar – Annaba University, numbering 43,406 students in 2024. The University in Annaba is a governmental Algerian university located in Annaba Province in the far east of Algeria. It is a prestigious university established on April 29, 1975. The university ensures that students receive a global university education within the framework of the LMD system, comprising eight faculties and 39 departments covering various scientific and humanistic specialization. 2,904 professors from different knowledge branches teach these students (Badji Mokhtar University, 2025).</w:t>
      </w:r>
    </w:p>
    <w:p w14:paraId="43513777" w14:textId="6CE0F061"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The study sample was selected using a comprehensive census method, with the first researcher distributing the questionnaire face-to-face to all Master's and Doctorate students. This is because these students are studying under a professor within the Monetary Economics and Banking department of the Economics Sciences department at Badji Mokhtar- Annaba University.</w:t>
      </w:r>
    </w:p>
    <w:p w14:paraId="22FFBE1F" w14:textId="77777777" w:rsidR="009411C1" w:rsidRPr="006E16F9" w:rsidRDefault="009411C1" w:rsidP="009411C1">
      <w:pPr>
        <w:spacing w:line="480" w:lineRule="auto"/>
        <w:jc w:val="both"/>
        <w:rPr>
          <w:rFonts w:asciiTheme="majorBidi" w:hAnsiTheme="majorBidi" w:cstheme="majorBidi"/>
          <w:sz w:val="22"/>
          <w:szCs w:val="22"/>
        </w:rPr>
      </w:pPr>
    </w:p>
    <w:p w14:paraId="482D7691" w14:textId="77777777" w:rsidR="009411C1" w:rsidRPr="006E16F9" w:rsidRDefault="009411C1" w:rsidP="009411C1">
      <w:pPr>
        <w:spacing w:line="480" w:lineRule="auto"/>
        <w:jc w:val="both"/>
        <w:rPr>
          <w:rFonts w:asciiTheme="majorBidi" w:hAnsiTheme="majorBidi" w:cstheme="majorBidi"/>
          <w:sz w:val="22"/>
          <w:szCs w:val="22"/>
        </w:rPr>
      </w:pPr>
    </w:p>
    <w:p w14:paraId="132A6136" w14:textId="77777777" w:rsidR="009411C1" w:rsidRPr="006E16F9" w:rsidRDefault="009411C1" w:rsidP="009411C1">
      <w:pPr>
        <w:spacing w:line="480" w:lineRule="auto"/>
        <w:jc w:val="both"/>
        <w:rPr>
          <w:rFonts w:asciiTheme="majorBidi" w:hAnsiTheme="majorBidi" w:cstheme="majorBidi"/>
          <w:sz w:val="22"/>
          <w:szCs w:val="22"/>
        </w:rPr>
      </w:pPr>
    </w:p>
    <w:p w14:paraId="7050AE7A" w14:textId="77777777" w:rsidR="002D33ED" w:rsidRPr="006E16F9" w:rsidRDefault="002D33ED" w:rsidP="009411C1">
      <w:pPr>
        <w:spacing w:line="480" w:lineRule="auto"/>
        <w:ind w:firstLine="567"/>
        <w:jc w:val="center"/>
        <w:rPr>
          <w:rFonts w:asciiTheme="majorBidi" w:hAnsiTheme="majorBidi" w:cstheme="majorBidi"/>
          <w:b/>
          <w:bCs/>
          <w:sz w:val="22"/>
          <w:szCs w:val="22"/>
        </w:rPr>
      </w:pPr>
      <w:r w:rsidRPr="006E16F9">
        <w:rPr>
          <w:rFonts w:asciiTheme="majorBidi" w:hAnsiTheme="majorBidi" w:cstheme="majorBidi"/>
          <w:b/>
          <w:bCs/>
          <w:sz w:val="22"/>
          <w:szCs w:val="22"/>
        </w:rPr>
        <w:lastRenderedPageBreak/>
        <w:t>Table 1. Status of the Field Study Questionnaires</w:t>
      </w:r>
    </w:p>
    <w:tbl>
      <w:tblPr>
        <w:tblStyle w:val="Grilledutableau"/>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
        <w:gridCol w:w="1101"/>
        <w:gridCol w:w="1709"/>
        <w:gridCol w:w="1761"/>
        <w:gridCol w:w="1705"/>
        <w:gridCol w:w="1705"/>
      </w:tblGrid>
      <w:tr w:rsidR="006E16F9" w:rsidRPr="006E16F9" w14:paraId="77B2F861" w14:textId="77777777" w:rsidTr="007D6331">
        <w:trPr>
          <w:jc w:val="center"/>
        </w:trPr>
        <w:tc>
          <w:tcPr>
            <w:tcW w:w="1045" w:type="dxa"/>
            <w:tcBorders>
              <w:top w:val="single" w:sz="4" w:space="0" w:color="auto"/>
              <w:bottom w:val="single" w:sz="4" w:space="0" w:color="auto"/>
            </w:tcBorders>
            <w:hideMark/>
          </w:tcPr>
          <w:p w14:paraId="6242765B"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Level</w:t>
            </w:r>
          </w:p>
        </w:tc>
        <w:tc>
          <w:tcPr>
            <w:tcW w:w="1101" w:type="dxa"/>
            <w:tcBorders>
              <w:top w:val="single" w:sz="4" w:space="0" w:color="auto"/>
              <w:bottom w:val="single" w:sz="4" w:space="0" w:color="auto"/>
            </w:tcBorders>
            <w:hideMark/>
          </w:tcPr>
          <w:p w14:paraId="2AC35A99"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Number of Students</w:t>
            </w:r>
          </w:p>
        </w:tc>
        <w:tc>
          <w:tcPr>
            <w:tcW w:w="1709" w:type="dxa"/>
            <w:tcBorders>
              <w:top w:val="single" w:sz="4" w:space="0" w:color="auto"/>
              <w:bottom w:val="single" w:sz="4" w:space="0" w:color="auto"/>
            </w:tcBorders>
            <w:hideMark/>
          </w:tcPr>
          <w:p w14:paraId="23777BBF"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Number of Distributed Questionnaires</w:t>
            </w:r>
          </w:p>
        </w:tc>
        <w:tc>
          <w:tcPr>
            <w:tcW w:w="1761" w:type="dxa"/>
            <w:tcBorders>
              <w:top w:val="single" w:sz="4" w:space="0" w:color="auto"/>
              <w:bottom w:val="single" w:sz="4" w:space="0" w:color="auto"/>
            </w:tcBorders>
            <w:hideMark/>
          </w:tcPr>
          <w:p w14:paraId="39D311E6"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Number of Non-Returned Questionnaires</w:t>
            </w:r>
          </w:p>
        </w:tc>
        <w:tc>
          <w:tcPr>
            <w:tcW w:w="1705" w:type="dxa"/>
            <w:tcBorders>
              <w:top w:val="single" w:sz="4" w:space="0" w:color="auto"/>
              <w:bottom w:val="single" w:sz="4" w:space="0" w:color="auto"/>
            </w:tcBorders>
            <w:hideMark/>
          </w:tcPr>
          <w:p w14:paraId="71627147"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Number of Incomplete Questionnaires</w:t>
            </w:r>
          </w:p>
        </w:tc>
        <w:tc>
          <w:tcPr>
            <w:tcW w:w="1705" w:type="dxa"/>
            <w:tcBorders>
              <w:top w:val="single" w:sz="4" w:space="0" w:color="auto"/>
              <w:bottom w:val="single" w:sz="4" w:space="0" w:color="auto"/>
            </w:tcBorders>
            <w:hideMark/>
          </w:tcPr>
          <w:p w14:paraId="68A0B0FE"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Number of Approved Questionnaires</w:t>
            </w:r>
          </w:p>
        </w:tc>
      </w:tr>
      <w:tr w:rsidR="006E16F9" w:rsidRPr="006E16F9" w14:paraId="15F46F9C" w14:textId="77777777" w:rsidTr="007D6331">
        <w:trPr>
          <w:jc w:val="center"/>
        </w:trPr>
        <w:tc>
          <w:tcPr>
            <w:tcW w:w="1045" w:type="dxa"/>
            <w:tcBorders>
              <w:top w:val="single" w:sz="4" w:space="0" w:color="auto"/>
            </w:tcBorders>
            <w:hideMark/>
          </w:tcPr>
          <w:p w14:paraId="27EFA7F6" w14:textId="77777777"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Master 1</w:t>
            </w:r>
          </w:p>
        </w:tc>
        <w:tc>
          <w:tcPr>
            <w:tcW w:w="1101" w:type="dxa"/>
            <w:tcBorders>
              <w:top w:val="single" w:sz="4" w:space="0" w:color="auto"/>
            </w:tcBorders>
            <w:hideMark/>
          </w:tcPr>
          <w:p w14:paraId="300B529F"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85</w:t>
            </w:r>
          </w:p>
        </w:tc>
        <w:tc>
          <w:tcPr>
            <w:tcW w:w="1709" w:type="dxa"/>
            <w:tcBorders>
              <w:top w:val="single" w:sz="4" w:space="0" w:color="auto"/>
            </w:tcBorders>
            <w:hideMark/>
          </w:tcPr>
          <w:p w14:paraId="3D6D77D3"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85</w:t>
            </w:r>
          </w:p>
        </w:tc>
        <w:tc>
          <w:tcPr>
            <w:tcW w:w="1761" w:type="dxa"/>
            <w:tcBorders>
              <w:top w:val="single" w:sz="4" w:space="0" w:color="auto"/>
            </w:tcBorders>
            <w:hideMark/>
          </w:tcPr>
          <w:p w14:paraId="2B9AC03B"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10</w:t>
            </w:r>
          </w:p>
        </w:tc>
        <w:tc>
          <w:tcPr>
            <w:tcW w:w="1705" w:type="dxa"/>
            <w:tcBorders>
              <w:top w:val="single" w:sz="4" w:space="0" w:color="auto"/>
            </w:tcBorders>
            <w:hideMark/>
          </w:tcPr>
          <w:p w14:paraId="6ACD6475"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8</w:t>
            </w:r>
          </w:p>
        </w:tc>
        <w:tc>
          <w:tcPr>
            <w:tcW w:w="1705" w:type="dxa"/>
            <w:tcBorders>
              <w:top w:val="single" w:sz="4" w:space="0" w:color="auto"/>
            </w:tcBorders>
            <w:hideMark/>
          </w:tcPr>
          <w:p w14:paraId="6493D237"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67</w:t>
            </w:r>
          </w:p>
        </w:tc>
      </w:tr>
      <w:tr w:rsidR="006E16F9" w:rsidRPr="006E16F9" w14:paraId="0F760B3B" w14:textId="77777777" w:rsidTr="007D6331">
        <w:trPr>
          <w:jc w:val="center"/>
        </w:trPr>
        <w:tc>
          <w:tcPr>
            <w:tcW w:w="1045" w:type="dxa"/>
            <w:hideMark/>
          </w:tcPr>
          <w:p w14:paraId="5D6A6F2A" w14:textId="77777777"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Master 2</w:t>
            </w:r>
          </w:p>
        </w:tc>
        <w:tc>
          <w:tcPr>
            <w:tcW w:w="1101" w:type="dxa"/>
            <w:hideMark/>
          </w:tcPr>
          <w:p w14:paraId="573780A3"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56</w:t>
            </w:r>
          </w:p>
        </w:tc>
        <w:tc>
          <w:tcPr>
            <w:tcW w:w="1709" w:type="dxa"/>
            <w:hideMark/>
          </w:tcPr>
          <w:p w14:paraId="074EDA04"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56</w:t>
            </w:r>
          </w:p>
        </w:tc>
        <w:tc>
          <w:tcPr>
            <w:tcW w:w="1761" w:type="dxa"/>
            <w:hideMark/>
          </w:tcPr>
          <w:p w14:paraId="770E7509"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w:t>
            </w:r>
          </w:p>
        </w:tc>
        <w:tc>
          <w:tcPr>
            <w:tcW w:w="1705" w:type="dxa"/>
            <w:hideMark/>
          </w:tcPr>
          <w:p w14:paraId="00ACD335"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2</w:t>
            </w:r>
          </w:p>
        </w:tc>
        <w:tc>
          <w:tcPr>
            <w:tcW w:w="1705" w:type="dxa"/>
            <w:hideMark/>
          </w:tcPr>
          <w:p w14:paraId="012F5254"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54</w:t>
            </w:r>
          </w:p>
        </w:tc>
      </w:tr>
      <w:tr w:rsidR="006E16F9" w:rsidRPr="006E16F9" w14:paraId="6B40925A" w14:textId="77777777" w:rsidTr="007D6331">
        <w:trPr>
          <w:jc w:val="center"/>
        </w:trPr>
        <w:tc>
          <w:tcPr>
            <w:tcW w:w="1045" w:type="dxa"/>
            <w:tcBorders>
              <w:bottom w:val="single" w:sz="4" w:space="0" w:color="auto"/>
            </w:tcBorders>
            <w:hideMark/>
          </w:tcPr>
          <w:p w14:paraId="3E998393" w14:textId="77777777"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Ph.D.</w:t>
            </w:r>
          </w:p>
        </w:tc>
        <w:tc>
          <w:tcPr>
            <w:tcW w:w="1101" w:type="dxa"/>
            <w:tcBorders>
              <w:bottom w:val="single" w:sz="4" w:space="0" w:color="auto"/>
            </w:tcBorders>
            <w:hideMark/>
          </w:tcPr>
          <w:p w14:paraId="2259853E"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10</w:t>
            </w:r>
          </w:p>
        </w:tc>
        <w:tc>
          <w:tcPr>
            <w:tcW w:w="1709" w:type="dxa"/>
            <w:tcBorders>
              <w:bottom w:val="single" w:sz="4" w:space="0" w:color="auto"/>
            </w:tcBorders>
            <w:hideMark/>
          </w:tcPr>
          <w:p w14:paraId="5F596DCB"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10</w:t>
            </w:r>
          </w:p>
        </w:tc>
        <w:tc>
          <w:tcPr>
            <w:tcW w:w="1761" w:type="dxa"/>
            <w:tcBorders>
              <w:bottom w:val="single" w:sz="4" w:space="0" w:color="auto"/>
            </w:tcBorders>
            <w:hideMark/>
          </w:tcPr>
          <w:p w14:paraId="04D5EF86"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w:t>
            </w:r>
          </w:p>
        </w:tc>
        <w:tc>
          <w:tcPr>
            <w:tcW w:w="1705" w:type="dxa"/>
            <w:tcBorders>
              <w:bottom w:val="single" w:sz="4" w:space="0" w:color="auto"/>
            </w:tcBorders>
            <w:hideMark/>
          </w:tcPr>
          <w:p w14:paraId="1E5294F0"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w:t>
            </w:r>
          </w:p>
        </w:tc>
        <w:tc>
          <w:tcPr>
            <w:tcW w:w="1705" w:type="dxa"/>
            <w:tcBorders>
              <w:bottom w:val="single" w:sz="4" w:space="0" w:color="auto"/>
            </w:tcBorders>
            <w:hideMark/>
          </w:tcPr>
          <w:p w14:paraId="612889EF" w14:textId="77777777" w:rsidR="002D33ED" w:rsidRPr="006E16F9" w:rsidRDefault="002D33ED"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10</w:t>
            </w:r>
          </w:p>
        </w:tc>
      </w:tr>
      <w:tr w:rsidR="006E16F9" w:rsidRPr="006E16F9" w14:paraId="216ECEBB" w14:textId="77777777" w:rsidTr="007D6331">
        <w:trPr>
          <w:jc w:val="center"/>
        </w:trPr>
        <w:tc>
          <w:tcPr>
            <w:tcW w:w="1045" w:type="dxa"/>
            <w:tcBorders>
              <w:top w:val="single" w:sz="4" w:space="0" w:color="auto"/>
              <w:bottom w:val="single" w:sz="4" w:space="0" w:color="auto"/>
            </w:tcBorders>
            <w:hideMark/>
          </w:tcPr>
          <w:p w14:paraId="273B828E" w14:textId="77777777" w:rsidR="002D33ED" w:rsidRPr="006E16F9" w:rsidRDefault="002D33ED" w:rsidP="007D633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Total</w:t>
            </w:r>
          </w:p>
        </w:tc>
        <w:tc>
          <w:tcPr>
            <w:tcW w:w="1101" w:type="dxa"/>
            <w:tcBorders>
              <w:top w:val="single" w:sz="4" w:space="0" w:color="auto"/>
              <w:bottom w:val="single" w:sz="4" w:space="0" w:color="auto"/>
            </w:tcBorders>
            <w:hideMark/>
          </w:tcPr>
          <w:p w14:paraId="310C3ECE" w14:textId="77777777" w:rsidR="002D33ED" w:rsidRPr="006E16F9" w:rsidRDefault="002D33ED" w:rsidP="007D633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151</w:t>
            </w:r>
          </w:p>
        </w:tc>
        <w:tc>
          <w:tcPr>
            <w:tcW w:w="1709" w:type="dxa"/>
            <w:tcBorders>
              <w:top w:val="single" w:sz="4" w:space="0" w:color="auto"/>
              <w:bottom w:val="single" w:sz="4" w:space="0" w:color="auto"/>
            </w:tcBorders>
            <w:hideMark/>
          </w:tcPr>
          <w:p w14:paraId="3DD227AC" w14:textId="77777777" w:rsidR="002D33ED" w:rsidRPr="006E16F9" w:rsidRDefault="002D33ED" w:rsidP="007D633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151</w:t>
            </w:r>
          </w:p>
        </w:tc>
        <w:tc>
          <w:tcPr>
            <w:tcW w:w="1761" w:type="dxa"/>
            <w:tcBorders>
              <w:top w:val="single" w:sz="4" w:space="0" w:color="auto"/>
              <w:bottom w:val="single" w:sz="4" w:space="0" w:color="auto"/>
            </w:tcBorders>
            <w:hideMark/>
          </w:tcPr>
          <w:p w14:paraId="4248CC39" w14:textId="77777777" w:rsidR="002D33ED" w:rsidRPr="006E16F9" w:rsidRDefault="002D33ED" w:rsidP="007D633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10</w:t>
            </w:r>
          </w:p>
        </w:tc>
        <w:tc>
          <w:tcPr>
            <w:tcW w:w="1705" w:type="dxa"/>
            <w:tcBorders>
              <w:top w:val="single" w:sz="4" w:space="0" w:color="auto"/>
              <w:bottom w:val="single" w:sz="4" w:space="0" w:color="auto"/>
            </w:tcBorders>
            <w:hideMark/>
          </w:tcPr>
          <w:p w14:paraId="7DCF7F45" w14:textId="77777777" w:rsidR="002D33ED" w:rsidRPr="006E16F9" w:rsidRDefault="002D33ED" w:rsidP="007D633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10</w:t>
            </w:r>
          </w:p>
        </w:tc>
        <w:tc>
          <w:tcPr>
            <w:tcW w:w="1705" w:type="dxa"/>
            <w:tcBorders>
              <w:top w:val="single" w:sz="4" w:space="0" w:color="auto"/>
              <w:bottom w:val="single" w:sz="4" w:space="0" w:color="auto"/>
            </w:tcBorders>
            <w:hideMark/>
          </w:tcPr>
          <w:p w14:paraId="1C526EBB" w14:textId="77777777" w:rsidR="002D33ED" w:rsidRPr="006E16F9" w:rsidRDefault="002D33ED" w:rsidP="007D633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131</w:t>
            </w:r>
          </w:p>
        </w:tc>
      </w:tr>
    </w:tbl>
    <w:p w14:paraId="4D3CFC92" w14:textId="77777777" w:rsidR="007D6331" w:rsidRPr="006E16F9" w:rsidRDefault="007D6331" w:rsidP="007D6331">
      <w:pPr>
        <w:spacing w:line="480" w:lineRule="auto"/>
        <w:rPr>
          <w:rFonts w:eastAsia="Calibri"/>
          <w:sz w:val="22"/>
          <w:szCs w:val="22"/>
          <w:lang w:eastAsia="en-US"/>
        </w:rPr>
      </w:pPr>
      <w:r w:rsidRPr="006E16F9">
        <w:rPr>
          <w:rFonts w:eastAsia="Calibri"/>
          <w:sz w:val="22"/>
          <w:szCs w:val="22"/>
          <w:lang w:eastAsia="en-US"/>
        </w:rPr>
        <w:t>Source: Developed by the researchers.</w:t>
      </w:r>
    </w:p>
    <w:p w14:paraId="32FDAAC2" w14:textId="6B9C8B66" w:rsidR="002D33ED" w:rsidRPr="006E16F9" w:rsidRDefault="002D33ED" w:rsidP="007D633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Notably, the speciality of Monetary and Banking Economics is a field within the Department of Economic Sciences at the Faculty of Economic, Commercial, and Management Sciences, which in turn is affiliated with Badji Mokhtar – Annaba University. The Department of Economic Sciences has three specialities: Economics and Management of Enterprises, International Economics, and Monetary and Banking Economics. The latter ensures that the student receives both theoretical and practical training in the field of financial and banking sciences according to the following stages:</w:t>
      </w:r>
    </w:p>
    <w:p w14:paraId="488CB19D" w14:textId="77777777"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b/>
          <w:bCs/>
          <w:sz w:val="22"/>
          <w:szCs w:val="22"/>
        </w:rPr>
        <w:t>A. Undergraduate Students Level:</w:t>
      </w:r>
      <w:r w:rsidRPr="006E16F9">
        <w:rPr>
          <w:rFonts w:asciiTheme="majorBidi" w:hAnsiTheme="majorBidi" w:cstheme="majorBidi"/>
          <w:sz w:val="22"/>
          <w:szCs w:val="22"/>
        </w:rPr>
        <w:t xml:space="preserve"> The training duration is three years, culminating in a bachelor's degree in Monetary and Banking Economics. The main subjects taught at this level include Fundamentals of Monetary Economics, Financial Markets, Bank Accounting, Banking Techniques and Operations, the Algerian Banking System, and Islamic Banking.</w:t>
      </w:r>
    </w:p>
    <w:p w14:paraId="5886A568" w14:textId="77777777"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b/>
          <w:bCs/>
          <w:sz w:val="22"/>
          <w:szCs w:val="22"/>
        </w:rPr>
        <w:t>B. Master's Students (M) Level:</w:t>
      </w:r>
      <w:r w:rsidRPr="006E16F9">
        <w:rPr>
          <w:rFonts w:asciiTheme="majorBidi" w:hAnsiTheme="majorBidi" w:cstheme="majorBidi"/>
          <w:sz w:val="22"/>
          <w:szCs w:val="22"/>
        </w:rPr>
        <w:t xml:space="preserve"> The training duration is two years, culminating in a master's degree. The main subjects taught at this level include Advanced Banking Economics, Insurance Banking, Financial Engineering, Financial Evaluation of Projects, and Taxation of Banking Operations.</w:t>
      </w:r>
    </w:p>
    <w:p w14:paraId="68A803AB" w14:textId="2D2BDFFB"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b/>
          <w:bCs/>
          <w:sz w:val="22"/>
          <w:szCs w:val="22"/>
        </w:rPr>
        <w:t>C. Doctorate Students Level</w:t>
      </w:r>
      <w:r w:rsidRPr="006E16F9">
        <w:rPr>
          <w:rFonts w:asciiTheme="majorBidi" w:hAnsiTheme="majorBidi" w:cstheme="majorBidi"/>
          <w:sz w:val="22"/>
          <w:szCs w:val="22"/>
        </w:rPr>
        <w:t>: The training lasts three or more years, culminating in a PhD. The training at this level includes subjects and applications, seminars, and workshops in various financial and banking sciences fields, preparing a PhD thesis, publishing articles, and participating in national and international conferences.</w:t>
      </w:r>
    </w:p>
    <w:p w14:paraId="60F033CC" w14:textId="15C3519F" w:rsidR="00CA25DC" w:rsidRPr="006E16F9" w:rsidRDefault="002946C2" w:rsidP="009411C1">
      <w:pPr>
        <w:spacing w:line="480" w:lineRule="auto"/>
        <w:rPr>
          <w:rFonts w:asciiTheme="majorBidi" w:hAnsiTheme="majorBidi" w:cstheme="majorBidi"/>
          <w:i/>
          <w:iCs/>
          <w:sz w:val="22"/>
          <w:szCs w:val="22"/>
        </w:rPr>
      </w:pPr>
      <w:r w:rsidRPr="006E16F9">
        <w:rPr>
          <w:rFonts w:asciiTheme="majorBidi" w:hAnsiTheme="majorBidi" w:cstheme="majorBidi"/>
          <w:b/>
          <w:bCs/>
          <w:i/>
          <w:iCs/>
          <w:sz w:val="22"/>
          <w:szCs w:val="22"/>
        </w:rPr>
        <w:t>Study Instrument</w:t>
      </w:r>
    </w:p>
    <w:p w14:paraId="073C60ED" w14:textId="7F6B2089"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lastRenderedPageBreak/>
        <w:t xml:space="preserve">The researchers used the questionnaire to collect data and information related to the field study. The questionnaire included a set of paragraphs aimed at understanding the nature of the usage of Facebook by the students of the Economic Sciences Department at </w:t>
      </w:r>
      <w:r w:rsidR="00401838" w:rsidRPr="006E16F9">
        <w:rPr>
          <w:rFonts w:asciiTheme="majorBidi" w:hAnsiTheme="majorBidi" w:cstheme="majorBidi"/>
          <w:sz w:val="22"/>
          <w:szCs w:val="22"/>
        </w:rPr>
        <w:t>Badji Mokhtar -</w:t>
      </w:r>
      <w:r w:rsidRPr="006E16F9">
        <w:rPr>
          <w:rFonts w:asciiTheme="majorBidi" w:hAnsiTheme="majorBidi" w:cstheme="majorBidi"/>
          <w:sz w:val="22"/>
          <w:szCs w:val="22"/>
        </w:rPr>
        <w:t>Annaba University for learning banking sciences. Given the absence of a ready-made list to measure that, the researchers developed this questionnaire, which includes 19 paragraphs distributed over two main axes: A. The first axis had personal data about the researched students related to gender, age, specialization, and length of Facebook usage. B. The second axis included a set of paragraphs to measure the extent of students' use of Facebook in learning banking sciences within three main areas: individual usage, interactive usage with colleagues, and interactive usage with professors, with five paragraphs for each area, totaling 15 paragraphs.</w:t>
      </w:r>
    </w:p>
    <w:p w14:paraId="6BD5DD69" w14:textId="011EEFD2" w:rsidR="00CA25DC" w:rsidRPr="006E16F9" w:rsidRDefault="002946C2" w:rsidP="009411C1">
      <w:pPr>
        <w:spacing w:line="480" w:lineRule="auto"/>
        <w:rPr>
          <w:rFonts w:asciiTheme="majorBidi" w:hAnsiTheme="majorBidi" w:cstheme="majorBidi"/>
          <w:i/>
          <w:iCs/>
          <w:sz w:val="22"/>
          <w:szCs w:val="22"/>
        </w:rPr>
      </w:pPr>
      <w:r w:rsidRPr="006E16F9">
        <w:rPr>
          <w:rFonts w:asciiTheme="majorBidi" w:hAnsiTheme="majorBidi" w:cstheme="majorBidi"/>
          <w:b/>
          <w:bCs/>
          <w:i/>
          <w:iCs/>
          <w:sz w:val="22"/>
          <w:szCs w:val="22"/>
        </w:rPr>
        <w:t>Validity and Reliability of the Study Instrument</w:t>
      </w:r>
    </w:p>
    <w:p w14:paraId="1B49A1B2" w14:textId="77777777"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To ascertain the reliability of the questionnaire, ensuring its comprehensive coverage of the research topic, and the appropriateness of its items in terms of wording and clarity, the researchers employed two methodologies:</w:t>
      </w:r>
    </w:p>
    <w:p w14:paraId="72CCE694" w14:textId="5935F7E5"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 xml:space="preserve">First, Expert Review: Upon completion of the preliminary version of the questionnaire, the research instrument was submitted for review to a panel of six experts, with three hailing from the Faculty of Economic Sciences, Commerce, and Management Sciences at </w:t>
      </w:r>
      <w:r w:rsidR="00401838" w:rsidRPr="006E16F9">
        <w:rPr>
          <w:rFonts w:asciiTheme="majorBidi" w:hAnsiTheme="majorBidi" w:cstheme="majorBidi"/>
          <w:sz w:val="22"/>
          <w:szCs w:val="22"/>
        </w:rPr>
        <w:t xml:space="preserve">Badji Mokhtar - </w:t>
      </w:r>
      <w:r w:rsidRPr="006E16F9">
        <w:rPr>
          <w:rFonts w:asciiTheme="majorBidi" w:hAnsiTheme="majorBidi" w:cstheme="majorBidi"/>
          <w:sz w:val="22"/>
          <w:szCs w:val="22"/>
        </w:rPr>
        <w:t>Annaba University and the remaining three representing the universities of El-Tarf and Jijel. The feedback and observations provided by these experts were meticulously incorporated, leading to the refinement of the questionnaire until its final form was achieved.</w:t>
      </w:r>
    </w:p>
    <w:p w14:paraId="39B6AF75" w14:textId="77777777"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Second, Pilot Study: Subsequently, the research tool was administered to a pilot sample consisting of 20 students, who were randomly selected from the department under investigation. The primary aim of this pilot study was to preliminarily assess the clarity of the questionnaire and the ease with which the students from the department could comprehend its items before its official distribution.</w:t>
      </w:r>
    </w:p>
    <w:p w14:paraId="3075E05D" w14:textId="77777777"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As for the reliability of the study instrument, it was verified using Cronbach's alpha coefficient, which reached a value of 0.747 for the entire questionnaire. This is considered a good value and higher than the minimum required value of 0.60, proving the reliability of the study instrument and indicating the internal consistency of its paragraphs and their dependability.</w:t>
      </w:r>
    </w:p>
    <w:p w14:paraId="20385596" w14:textId="77777777" w:rsidR="002D33ED" w:rsidRPr="006E16F9" w:rsidRDefault="002D33ED" w:rsidP="009411C1">
      <w:pPr>
        <w:spacing w:line="480" w:lineRule="auto"/>
        <w:ind w:firstLine="567"/>
        <w:jc w:val="center"/>
        <w:rPr>
          <w:rFonts w:asciiTheme="majorBidi" w:hAnsiTheme="majorBidi" w:cstheme="majorBidi"/>
          <w:b/>
          <w:bCs/>
          <w:sz w:val="22"/>
          <w:szCs w:val="22"/>
        </w:rPr>
      </w:pPr>
      <w:r w:rsidRPr="006E16F9">
        <w:rPr>
          <w:rFonts w:asciiTheme="majorBidi" w:hAnsiTheme="majorBidi" w:cstheme="majorBidi"/>
          <w:b/>
          <w:bCs/>
          <w:sz w:val="22"/>
          <w:szCs w:val="22"/>
        </w:rPr>
        <w:lastRenderedPageBreak/>
        <w:t>Table 2. Reliability of the Study Instrument</w:t>
      </w:r>
    </w:p>
    <w:tbl>
      <w:tblPr>
        <w:tblStyle w:val="Grilledutableau"/>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208"/>
        <w:gridCol w:w="1664"/>
      </w:tblGrid>
      <w:tr w:rsidR="006E16F9" w:rsidRPr="006E16F9" w14:paraId="36B552BE" w14:textId="77777777" w:rsidTr="00566943">
        <w:trPr>
          <w:jc w:val="center"/>
        </w:trPr>
        <w:tc>
          <w:tcPr>
            <w:tcW w:w="0" w:type="auto"/>
            <w:tcBorders>
              <w:top w:val="single" w:sz="4" w:space="0" w:color="auto"/>
              <w:bottom w:val="single" w:sz="4" w:space="0" w:color="auto"/>
            </w:tcBorders>
            <w:hideMark/>
          </w:tcPr>
          <w:p w14:paraId="2C380D8C" w14:textId="77777777" w:rsidR="002D33ED" w:rsidRPr="006E16F9" w:rsidRDefault="002D33ED"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Description</w:t>
            </w:r>
          </w:p>
        </w:tc>
        <w:tc>
          <w:tcPr>
            <w:tcW w:w="0" w:type="auto"/>
            <w:tcBorders>
              <w:top w:val="single" w:sz="4" w:space="0" w:color="auto"/>
              <w:bottom w:val="single" w:sz="4" w:space="0" w:color="auto"/>
            </w:tcBorders>
            <w:hideMark/>
          </w:tcPr>
          <w:p w14:paraId="7D6C7438" w14:textId="77777777"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Number of Paragraphs</w:t>
            </w:r>
          </w:p>
        </w:tc>
        <w:tc>
          <w:tcPr>
            <w:tcW w:w="0" w:type="auto"/>
            <w:tcBorders>
              <w:top w:val="single" w:sz="4" w:space="0" w:color="auto"/>
              <w:bottom w:val="single" w:sz="4" w:space="0" w:color="auto"/>
            </w:tcBorders>
            <w:hideMark/>
          </w:tcPr>
          <w:p w14:paraId="44B389AC" w14:textId="77777777"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Alpha Cronbach</w:t>
            </w:r>
          </w:p>
        </w:tc>
      </w:tr>
      <w:tr w:rsidR="006E16F9" w:rsidRPr="006E16F9" w14:paraId="763FC8F2" w14:textId="77777777" w:rsidTr="00566943">
        <w:trPr>
          <w:jc w:val="center"/>
        </w:trPr>
        <w:tc>
          <w:tcPr>
            <w:tcW w:w="0" w:type="auto"/>
            <w:tcBorders>
              <w:top w:val="single" w:sz="4" w:space="0" w:color="auto"/>
            </w:tcBorders>
            <w:hideMark/>
          </w:tcPr>
          <w:p w14:paraId="653412E5" w14:textId="77777777"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Individual Usage</w:t>
            </w:r>
          </w:p>
        </w:tc>
        <w:tc>
          <w:tcPr>
            <w:tcW w:w="0" w:type="auto"/>
            <w:tcBorders>
              <w:top w:val="single" w:sz="4" w:space="0" w:color="auto"/>
            </w:tcBorders>
            <w:hideMark/>
          </w:tcPr>
          <w:p w14:paraId="19C5CD29" w14:textId="77777777" w:rsidR="002D33ED" w:rsidRPr="006E16F9" w:rsidRDefault="002D33ED"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5</w:t>
            </w:r>
          </w:p>
        </w:tc>
        <w:tc>
          <w:tcPr>
            <w:tcW w:w="0" w:type="auto"/>
            <w:tcBorders>
              <w:top w:val="single" w:sz="4" w:space="0" w:color="auto"/>
            </w:tcBorders>
            <w:hideMark/>
          </w:tcPr>
          <w:p w14:paraId="545C5BEF" w14:textId="77777777" w:rsidR="002D33ED" w:rsidRPr="006E16F9" w:rsidRDefault="002D33ED"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0.680</w:t>
            </w:r>
          </w:p>
        </w:tc>
      </w:tr>
      <w:tr w:rsidR="006E16F9" w:rsidRPr="006E16F9" w14:paraId="6D06BBB1" w14:textId="77777777" w:rsidTr="00566943">
        <w:trPr>
          <w:jc w:val="center"/>
        </w:trPr>
        <w:tc>
          <w:tcPr>
            <w:tcW w:w="0" w:type="auto"/>
            <w:hideMark/>
          </w:tcPr>
          <w:p w14:paraId="080CE60D" w14:textId="77777777"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Interactive Usage with Colleagues</w:t>
            </w:r>
          </w:p>
        </w:tc>
        <w:tc>
          <w:tcPr>
            <w:tcW w:w="0" w:type="auto"/>
            <w:hideMark/>
          </w:tcPr>
          <w:p w14:paraId="71E23731" w14:textId="77777777" w:rsidR="002D33ED" w:rsidRPr="006E16F9" w:rsidRDefault="002D33ED"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5</w:t>
            </w:r>
          </w:p>
        </w:tc>
        <w:tc>
          <w:tcPr>
            <w:tcW w:w="0" w:type="auto"/>
            <w:hideMark/>
          </w:tcPr>
          <w:p w14:paraId="0E6C5508" w14:textId="77777777" w:rsidR="002D33ED" w:rsidRPr="006E16F9" w:rsidRDefault="002D33ED"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0.697</w:t>
            </w:r>
          </w:p>
        </w:tc>
      </w:tr>
      <w:tr w:rsidR="006E16F9" w:rsidRPr="006E16F9" w14:paraId="7CDF19EC" w14:textId="77777777" w:rsidTr="00566943">
        <w:trPr>
          <w:jc w:val="center"/>
        </w:trPr>
        <w:tc>
          <w:tcPr>
            <w:tcW w:w="0" w:type="auto"/>
            <w:tcBorders>
              <w:bottom w:val="single" w:sz="4" w:space="0" w:color="auto"/>
            </w:tcBorders>
            <w:hideMark/>
          </w:tcPr>
          <w:p w14:paraId="365B6073" w14:textId="77777777" w:rsidR="002D33ED" w:rsidRPr="006E16F9" w:rsidRDefault="002D33ED"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Interactive Usage with Professors</w:t>
            </w:r>
          </w:p>
        </w:tc>
        <w:tc>
          <w:tcPr>
            <w:tcW w:w="0" w:type="auto"/>
            <w:tcBorders>
              <w:bottom w:val="single" w:sz="4" w:space="0" w:color="auto"/>
            </w:tcBorders>
            <w:hideMark/>
          </w:tcPr>
          <w:p w14:paraId="6A8FEC06" w14:textId="77777777" w:rsidR="002D33ED" w:rsidRPr="006E16F9" w:rsidRDefault="002D33ED"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5</w:t>
            </w:r>
          </w:p>
        </w:tc>
        <w:tc>
          <w:tcPr>
            <w:tcW w:w="0" w:type="auto"/>
            <w:tcBorders>
              <w:bottom w:val="single" w:sz="4" w:space="0" w:color="auto"/>
            </w:tcBorders>
            <w:hideMark/>
          </w:tcPr>
          <w:p w14:paraId="2E5E90A0" w14:textId="77777777" w:rsidR="002D33ED" w:rsidRPr="006E16F9" w:rsidRDefault="002D33ED"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0.764</w:t>
            </w:r>
          </w:p>
        </w:tc>
      </w:tr>
      <w:tr w:rsidR="006E16F9" w:rsidRPr="006E16F9" w14:paraId="042850E9" w14:textId="77777777" w:rsidTr="00566943">
        <w:trPr>
          <w:jc w:val="center"/>
        </w:trPr>
        <w:tc>
          <w:tcPr>
            <w:tcW w:w="0" w:type="auto"/>
            <w:tcBorders>
              <w:top w:val="single" w:sz="4" w:space="0" w:color="auto"/>
              <w:bottom w:val="single" w:sz="4" w:space="0" w:color="auto"/>
            </w:tcBorders>
            <w:hideMark/>
          </w:tcPr>
          <w:p w14:paraId="15F25DBC" w14:textId="77777777" w:rsidR="002D33ED" w:rsidRPr="006E16F9" w:rsidRDefault="002D33ED"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Total</w:t>
            </w:r>
          </w:p>
        </w:tc>
        <w:tc>
          <w:tcPr>
            <w:tcW w:w="0" w:type="auto"/>
            <w:tcBorders>
              <w:top w:val="single" w:sz="4" w:space="0" w:color="auto"/>
              <w:bottom w:val="single" w:sz="4" w:space="0" w:color="auto"/>
            </w:tcBorders>
            <w:hideMark/>
          </w:tcPr>
          <w:p w14:paraId="0E02B776" w14:textId="77777777" w:rsidR="002D33ED" w:rsidRPr="006E16F9" w:rsidRDefault="002D33ED"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15</w:t>
            </w:r>
          </w:p>
        </w:tc>
        <w:tc>
          <w:tcPr>
            <w:tcW w:w="0" w:type="auto"/>
            <w:tcBorders>
              <w:top w:val="single" w:sz="4" w:space="0" w:color="auto"/>
              <w:bottom w:val="single" w:sz="4" w:space="0" w:color="auto"/>
            </w:tcBorders>
            <w:hideMark/>
          </w:tcPr>
          <w:p w14:paraId="1944EC42" w14:textId="77777777" w:rsidR="002D33ED" w:rsidRPr="006E16F9" w:rsidRDefault="002D33ED"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0.747</w:t>
            </w:r>
          </w:p>
        </w:tc>
      </w:tr>
    </w:tbl>
    <w:p w14:paraId="2C33F5DA" w14:textId="7825B7D7" w:rsidR="002946C2" w:rsidRPr="006E16F9" w:rsidRDefault="002946C2" w:rsidP="002946C2">
      <w:pPr>
        <w:spacing w:line="480" w:lineRule="auto"/>
        <w:rPr>
          <w:rFonts w:eastAsia="Calibri"/>
          <w:sz w:val="22"/>
          <w:szCs w:val="22"/>
          <w:lang w:eastAsia="en-US"/>
        </w:rPr>
      </w:pPr>
      <w:r w:rsidRPr="006E16F9">
        <w:rPr>
          <w:rFonts w:eastAsia="Calibri"/>
          <w:sz w:val="22"/>
          <w:szCs w:val="22"/>
          <w:lang w:eastAsia="en-US"/>
        </w:rPr>
        <w:t>Source: Prepared by the researchers based on the outputs of SPSS version 28.</w:t>
      </w:r>
    </w:p>
    <w:p w14:paraId="2E3A0F98" w14:textId="1AE30177" w:rsidR="002D33ED" w:rsidRPr="006E16F9" w:rsidRDefault="002946C2" w:rsidP="009411C1">
      <w:pPr>
        <w:spacing w:line="480" w:lineRule="auto"/>
        <w:rPr>
          <w:rFonts w:asciiTheme="majorBidi" w:hAnsiTheme="majorBidi" w:cstheme="majorBidi"/>
          <w:b/>
          <w:bCs/>
          <w:sz w:val="22"/>
          <w:szCs w:val="22"/>
        </w:rPr>
      </w:pPr>
      <w:r w:rsidRPr="006E16F9">
        <w:rPr>
          <w:rFonts w:asciiTheme="majorBidi" w:hAnsiTheme="majorBidi" w:cstheme="majorBidi"/>
          <w:b/>
          <w:bCs/>
          <w:sz w:val="22"/>
          <w:szCs w:val="22"/>
        </w:rPr>
        <w:t>Results</w:t>
      </w:r>
      <w:r w:rsidR="002D33ED" w:rsidRPr="006E16F9">
        <w:rPr>
          <w:rFonts w:asciiTheme="majorBidi" w:hAnsiTheme="majorBidi" w:cstheme="majorBidi"/>
          <w:b/>
          <w:bCs/>
          <w:sz w:val="22"/>
          <w:szCs w:val="22"/>
        </w:rPr>
        <w:t xml:space="preserve"> and Discussion</w:t>
      </w:r>
    </w:p>
    <w:p w14:paraId="1D1384A3" w14:textId="11BBF239" w:rsidR="00CA25DC" w:rsidRPr="006E16F9" w:rsidRDefault="002946C2" w:rsidP="009411C1">
      <w:pPr>
        <w:spacing w:line="480" w:lineRule="auto"/>
        <w:rPr>
          <w:rFonts w:asciiTheme="majorBidi" w:hAnsiTheme="majorBidi" w:cstheme="majorBidi"/>
          <w:b/>
          <w:bCs/>
          <w:i/>
          <w:iCs/>
          <w:sz w:val="22"/>
          <w:szCs w:val="22"/>
        </w:rPr>
      </w:pPr>
      <w:r w:rsidRPr="006E16F9">
        <w:rPr>
          <w:rFonts w:asciiTheme="majorBidi" w:hAnsiTheme="majorBidi" w:cstheme="majorBidi"/>
          <w:b/>
          <w:bCs/>
          <w:i/>
          <w:iCs/>
          <w:sz w:val="22"/>
          <w:szCs w:val="22"/>
        </w:rPr>
        <w:t>Analysis of the Personal Data of the Study Sample</w:t>
      </w:r>
    </w:p>
    <w:p w14:paraId="507333C6" w14:textId="77777777" w:rsidR="00D45EAB" w:rsidRPr="006E16F9" w:rsidRDefault="00D45EAB" w:rsidP="009411C1">
      <w:pPr>
        <w:spacing w:line="480" w:lineRule="auto"/>
        <w:ind w:firstLine="567"/>
        <w:jc w:val="center"/>
        <w:rPr>
          <w:rFonts w:asciiTheme="majorBidi" w:hAnsiTheme="majorBidi" w:cstheme="majorBidi"/>
          <w:b/>
          <w:bCs/>
          <w:sz w:val="22"/>
          <w:szCs w:val="22"/>
        </w:rPr>
      </w:pPr>
      <w:r w:rsidRPr="006E16F9">
        <w:rPr>
          <w:rFonts w:asciiTheme="majorBidi" w:hAnsiTheme="majorBidi" w:cstheme="majorBidi"/>
          <w:b/>
          <w:bCs/>
          <w:sz w:val="22"/>
          <w:szCs w:val="22"/>
        </w:rPr>
        <w:t>Table 3. Personal Data of the Study Sample</w:t>
      </w:r>
    </w:p>
    <w:tbl>
      <w:tblPr>
        <w:tblStyle w:val="Grilledutableau"/>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1"/>
        <w:gridCol w:w="1909"/>
        <w:gridCol w:w="1145"/>
        <w:gridCol w:w="1181"/>
      </w:tblGrid>
      <w:tr w:rsidR="006E16F9" w:rsidRPr="006E16F9" w14:paraId="4FF50773" w14:textId="77777777" w:rsidTr="00566943">
        <w:trPr>
          <w:jc w:val="center"/>
        </w:trPr>
        <w:tc>
          <w:tcPr>
            <w:tcW w:w="0" w:type="auto"/>
            <w:tcBorders>
              <w:top w:val="single" w:sz="4" w:space="0" w:color="auto"/>
              <w:bottom w:val="single" w:sz="4" w:space="0" w:color="auto"/>
            </w:tcBorders>
            <w:hideMark/>
          </w:tcPr>
          <w:p w14:paraId="6E961755"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Description</w:t>
            </w:r>
          </w:p>
        </w:tc>
        <w:tc>
          <w:tcPr>
            <w:tcW w:w="0" w:type="auto"/>
            <w:tcBorders>
              <w:top w:val="single" w:sz="4" w:space="0" w:color="auto"/>
              <w:bottom w:val="single" w:sz="4" w:space="0" w:color="auto"/>
            </w:tcBorders>
            <w:hideMark/>
          </w:tcPr>
          <w:p w14:paraId="0F0A0102"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Categories</w:t>
            </w:r>
          </w:p>
        </w:tc>
        <w:tc>
          <w:tcPr>
            <w:tcW w:w="0" w:type="auto"/>
            <w:tcBorders>
              <w:top w:val="single" w:sz="4" w:space="0" w:color="auto"/>
              <w:bottom w:val="single" w:sz="4" w:space="0" w:color="auto"/>
            </w:tcBorders>
            <w:hideMark/>
          </w:tcPr>
          <w:p w14:paraId="0DD55736"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Frequency</w:t>
            </w:r>
          </w:p>
        </w:tc>
        <w:tc>
          <w:tcPr>
            <w:tcW w:w="0" w:type="auto"/>
            <w:tcBorders>
              <w:top w:val="single" w:sz="4" w:space="0" w:color="auto"/>
              <w:bottom w:val="single" w:sz="4" w:space="0" w:color="auto"/>
            </w:tcBorders>
            <w:hideMark/>
          </w:tcPr>
          <w:p w14:paraId="4C7F6FE8"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Percentage</w:t>
            </w:r>
          </w:p>
        </w:tc>
      </w:tr>
      <w:tr w:rsidR="006E16F9" w:rsidRPr="006E16F9" w14:paraId="4D4DD4D3" w14:textId="77777777" w:rsidTr="00566943">
        <w:trPr>
          <w:jc w:val="center"/>
        </w:trPr>
        <w:tc>
          <w:tcPr>
            <w:tcW w:w="0" w:type="auto"/>
            <w:vMerge w:val="restart"/>
            <w:tcBorders>
              <w:top w:val="single" w:sz="4" w:space="0" w:color="auto"/>
            </w:tcBorders>
            <w:hideMark/>
          </w:tcPr>
          <w:p w14:paraId="062B9D66"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Gender</w:t>
            </w:r>
          </w:p>
        </w:tc>
        <w:tc>
          <w:tcPr>
            <w:tcW w:w="0" w:type="auto"/>
            <w:tcBorders>
              <w:top w:val="single" w:sz="4" w:space="0" w:color="auto"/>
            </w:tcBorders>
            <w:hideMark/>
          </w:tcPr>
          <w:p w14:paraId="524204A1"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Male</w:t>
            </w:r>
          </w:p>
        </w:tc>
        <w:tc>
          <w:tcPr>
            <w:tcW w:w="0" w:type="auto"/>
            <w:tcBorders>
              <w:top w:val="single" w:sz="4" w:space="0" w:color="auto"/>
            </w:tcBorders>
            <w:hideMark/>
          </w:tcPr>
          <w:p w14:paraId="49B885A1"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44</w:t>
            </w:r>
          </w:p>
        </w:tc>
        <w:tc>
          <w:tcPr>
            <w:tcW w:w="0" w:type="auto"/>
            <w:tcBorders>
              <w:top w:val="single" w:sz="4" w:space="0" w:color="auto"/>
            </w:tcBorders>
            <w:hideMark/>
          </w:tcPr>
          <w:p w14:paraId="46EB55F8"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33.60</w:t>
            </w:r>
          </w:p>
        </w:tc>
      </w:tr>
      <w:tr w:rsidR="006E16F9" w:rsidRPr="006E16F9" w14:paraId="1E283962" w14:textId="77777777" w:rsidTr="00566943">
        <w:trPr>
          <w:jc w:val="center"/>
        </w:trPr>
        <w:tc>
          <w:tcPr>
            <w:tcW w:w="0" w:type="auto"/>
            <w:vMerge/>
            <w:hideMark/>
          </w:tcPr>
          <w:p w14:paraId="3DEA724D" w14:textId="77777777" w:rsidR="00D45EAB" w:rsidRPr="006E16F9" w:rsidRDefault="00D45EAB" w:rsidP="009411C1">
            <w:pPr>
              <w:spacing w:line="480" w:lineRule="auto"/>
              <w:ind w:firstLine="567"/>
              <w:jc w:val="both"/>
              <w:rPr>
                <w:rFonts w:asciiTheme="majorBidi" w:hAnsiTheme="majorBidi" w:cstheme="majorBidi"/>
                <w:sz w:val="22"/>
                <w:szCs w:val="22"/>
              </w:rPr>
            </w:pPr>
          </w:p>
        </w:tc>
        <w:tc>
          <w:tcPr>
            <w:tcW w:w="0" w:type="auto"/>
            <w:hideMark/>
          </w:tcPr>
          <w:p w14:paraId="662FD108"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Female</w:t>
            </w:r>
          </w:p>
        </w:tc>
        <w:tc>
          <w:tcPr>
            <w:tcW w:w="0" w:type="auto"/>
            <w:hideMark/>
          </w:tcPr>
          <w:p w14:paraId="537310AC"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87</w:t>
            </w:r>
          </w:p>
        </w:tc>
        <w:tc>
          <w:tcPr>
            <w:tcW w:w="0" w:type="auto"/>
            <w:hideMark/>
          </w:tcPr>
          <w:p w14:paraId="00537E7D"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66.40</w:t>
            </w:r>
          </w:p>
        </w:tc>
      </w:tr>
      <w:tr w:rsidR="006E16F9" w:rsidRPr="006E16F9" w14:paraId="55E97479" w14:textId="77777777" w:rsidTr="00566943">
        <w:trPr>
          <w:jc w:val="center"/>
        </w:trPr>
        <w:tc>
          <w:tcPr>
            <w:tcW w:w="0" w:type="auto"/>
            <w:vMerge w:val="restart"/>
            <w:hideMark/>
          </w:tcPr>
          <w:p w14:paraId="082E3262"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Age</w:t>
            </w:r>
          </w:p>
        </w:tc>
        <w:tc>
          <w:tcPr>
            <w:tcW w:w="0" w:type="auto"/>
            <w:hideMark/>
          </w:tcPr>
          <w:p w14:paraId="6F4F89EE"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18-22 years</w:t>
            </w:r>
          </w:p>
        </w:tc>
        <w:tc>
          <w:tcPr>
            <w:tcW w:w="0" w:type="auto"/>
            <w:hideMark/>
          </w:tcPr>
          <w:p w14:paraId="596B4F5E"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52</w:t>
            </w:r>
          </w:p>
        </w:tc>
        <w:tc>
          <w:tcPr>
            <w:tcW w:w="0" w:type="auto"/>
            <w:hideMark/>
          </w:tcPr>
          <w:p w14:paraId="04D0B62C"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39.70</w:t>
            </w:r>
          </w:p>
        </w:tc>
      </w:tr>
      <w:tr w:rsidR="006E16F9" w:rsidRPr="006E16F9" w14:paraId="06D48A5E" w14:textId="77777777" w:rsidTr="00566943">
        <w:trPr>
          <w:jc w:val="center"/>
        </w:trPr>
        <w:tc>
          <w:tcPr>
            <w:tcW w:w="0" w:type="auto"/>
            <w:vMerge/>
            <w:hideMark/>
          </w:tcPr>
          <w:p w14:paraId="78263286" w14:textId="77777777" w:rsidR="00D45EAB" w:rsidRPr="006E16F9" w:rsidRDefault="00D45EAB" w:rsidP="009411C1">
            <w:pPr>
              <w:spacing w:line="480" w:lineRule="auto"/>
              <w:ind w:firstLine="567"/>
              <w:jc w:val="both"/>
              <w:rPr>
                <w:rFonts w:asciiTheme="majorBidi" w:hAnsiTheme="majorBidi" w:cstheme="majorBidi"/>
                <w:sz w:val="22"/>
                <w:szCs w:val="22"/>
              </w:rPr>
            </w:pPr>
          </w:p>
        </w:tc>
        <w:tc>
          <w:tcPr>
            <w:tcW w:w="0" w:type="auto"/>
            <w:hideMark/>
          </w:tcPr>
          <w:p w14:paraId="6C6D4673"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23-27 years</w:t>
            </w:r>
          </w:p>
        </w:tc>
        <w:tc>
          <w:tcPr>
            <w:tcW w:w="0" w:type="auto"/>
            <w:hideMark/>
          </w:tcPr>
          <w:p w14:paraId="373488B6"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50</w:t>
            </w:r>
          </w:p>
        </w:tc>
        <w:tc>
          <w:tcPr>
            <w:tcW w:w="0" w:type="auto"/>
            <w:hideMark/>
          </w:tcPr>
          <w:p w14:paraId="756D8D59"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38.20</w:t>
            </w:r>
          </w:p>
        </w:tc>
      </w:tr>
      <w:tr w:rsidR="006E16F9" w:rsidRPr="006E16F9" w14:paraId="2B5D1908" w14:textId="77777777" w:rsidTr="00566943">
        <w:trPr>
          <w:jc w:val="center"/>
        </w:trPr>
        <w:tc>
          <w:tcPr>
            <w:tcW w:w="0" w:type="auto"/>
            <w:vMerge/>
            <w:hideMark/>
          </w:tcPr>
          <w:p w14:paraId="22CCF584" w14:textId="77777777" w:rsidR="00D45EAB" w:rsidRPr="006E16F9" w:rsidRDefault="00D45EAB" w:rsidP="009411C1">
            <w:pPr>
              <w:spacing w:line="480" w:lineRule="auto"/>
              <w:ind w:firstLine="567"/>
              <w:jc w:val="both"/>
              <w:rPr>
                <w:rFonts w:asciiTheme="majorBidi" w:hAnsiTheme="majorBidi" w:cstheme="majorBidi"/>
                <w:sz w:val="22"/>
                <w:szCs w:val="22"/>
              </w:rPr>
            </w:pPr>
          </w:p>
        </w:tc>
        <w:tc>
          <w:tcPr>
            <w:tcW w:w="0" w:type="auto"/>
            <w:hideMark/>
          </w:tcPr>
          <w:p w14:paraId="2BF399BA"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28-32 years</w:t>
            </w:r>
          </w:p>
        </w:tc>
        <w:tc>
          <w:tcPr>
            <w:tcW w:w="0" w:type="auto"/>
            <w:hideMark/>
          </w:tcPr>
          <w:p w14:paraId="3B5D4711"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6</w:t>
            </w:r>
          </w:p>
        </w:tc>
        <w:tc>
          <w:tcPr>
            <w:tcW w:w="0" w:type="auto"/>
            <w:hideMark/>
          </w:tcPr>
          <w:p w14:paraId="047C307F"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4.60</w:t>
            </w:r>
          </w:p>
        </w:tc>
      </w:tr>
      <w:tr w:rsidR="006E16F9" w:rsidRPr="006E16F9" w14:paraId="4D49D08E" w14:textId="77777777" w:rsidTr="00566943">
        <w:trPr>
          <w:jc w:val="center"/>
        </w:trPr>
        <w:tc>
          <w:tcPr>
            <w:tcW w:w="0" w:type="auto"/>
            <w:vMerge/>
            <w:hideMark/>
          </w:tcPr>
          <w:p w14:paraId="2D9617C8" w14:textId="77777777" w:rsidR="00D45EAB" w:rsidRPr="006E16F9" w:rsidRDefault="00D45EAB" w:rsidP="009411C1">
            <w:pPr>
              <w:spacing w:line="480" w:lineRule="auto"/>
              <w:ind w:firstLine="567"/>
              <w:jc w:val="both"/>
              <w:rPr>
                <w:rFonts w:asciiTheme="majorBidi" w:hAnsiTheme="majorBidi" w:cstheme="majorBidi"/>
                <w:sz w:val="22"/>
                <w:szCs w:val="22"/>
              </w:rPr>
            </w:pPr>
          </w:p>
        </w:tc>
        <w:tc>
          <w:tcPr>
            <w:tcW w:w="0" w:type="auto"/>
            <w:hideMark/>
          </w:tcPr>
          <w:p w14:paraId="721B1F42"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33-37 years</w:t>
            </w:r>
          </w:p>
        </w:tc>
        <w:tc>
          <w:tcPr>
            <w:tcW w:w="0" w:type="auto"/>
            <w:hideMark/>
          </w:tcPr>
          <w:p w14:paraId="158B0B62"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19</w:t>
            </w:r>
          </w:p>
        </w:tc>
        <w:tc>
          <w:tcPr>
            <w:tcW w:w="0" w:type="auto"/>
            <w:hideMark/>
          </w:tcPr>
          <w:p w14:paraId="1240715E"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14.50</w:t>
            </w:r>
          </w:p>
        </w:tc>
      </w:tr>
      <w:tr w:rsidR="006E16F9" w:rsidRPr="006E16F9" w14:paraId="3CB9FBB5" w14:textId="77777777" w:rsidTr="00566943">
        <w:trPr>
          <w:jc w:val="center"/>
        </w:trPr>
        <w:tc>
          <w:tcPr>
            <w:tcW w:w="0" w:type="auto"/>
            <w:vMerge/>
            <w:hideMark/>
          </w:tcPr>
          <w:p w14:paraId="23D2B446" w14:textId="77777777" w:rsidR="00D45EAB" w:rsidRPr="006E16F9" w:rsidRDefault="00D45EAB" w:rsidP="009411C1">
            <w:pPr>
              <w:spacing w:line="480" w:lineRule="auto"/>
              <w:ind w:firstLine="567"/>
              <w:jc w:val="both"/>
              <w:rPr>
                <w:rFonts w:asciiTheme="majorBidi" w:hAnsiTheme="majorBidi" w:cstheme="majorBidi"/>
                <w:sz w:val="22"/>
                <w:szCs w:val="22"/>
              </w:rPr>
            </w:pPr>
          </w:p>
        </w:tc>
        <w:tc>
          <w:tcPr>
            <w:tcW w:w="0" w:type="auto"/>
            <w:hideMark/>
          </w:tcPr>
          <w:p w14:paraId="655AAF5A"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38 years and above</w:t>
            </w:r>
          </w:p>
        </w:tc>
        <w:tc>
          <w:tcPr>
            <w:tcW w:w="0" w:type="auto"/>
            <w:hideMark/>
          </w:tcPr>
          <w:p w14:paraId="63060C4D"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4</w:t>
            </w:r>
          </w:p>
        </w:tc>
        <w:tc>
          <w:tcPr>
            <w:tcW w:w="0" w:type="auto"/>
            <w:hideMark/>
          </w:tcPr>
          <w:p w14:paraId="7A12C26E"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3.10</w:t>
            </w:r>
          </w:p>
        </w:tc>
      </w:tr>
      <w:tr w:rsidR="006E16F9" w:rsidRPr="006E16F9" w14:paraId="1507E056" w14:textId="77777777" w:rsidTr="00566943">
        <w:trPr>
          <w:jc w:val="center"/>
        </w:trPr>
        <w:tc>
          <w:tcPr>
            <w:tcW w:w="0" w:type="auto"/>
            <w:vMerge w:val="restart"/>
            <w:hideMark/>
          </w:tcPr>
          <w:p w14:paraId="45FA316F"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Educational Stage</w:t>
            </w:r>
          </w:p>
        </w:tc>
        <w:tc>
          <w:tcPr>
            <w:tcW w:w="0" w:type="auto"/>
            <w:hideMark/>
          </w:tcPr>
          <w:p w14:paraId="2A4751A2"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Master 1</w:t>
            </w:r>
          </w:p>
        </w:tc>
        <w:tc>
          <w:tcPr>
            <w:tcW w:w="0" w:type="auto"/>
            <w:hideMark/>
          </w:tcPr>
          <w:p w14:paraId="0D137352"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69</w:t>
            </w:r>
          </w:p>
        </w:tc>
        <w:tc>
          <w:tcPr>
            <w:tcW w:w="0" w:type="auto"/>
            <w:hideMark/>
          </w:tcPr>
          <w:p w14:paraId="3E3BBE7F"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52.70</w:t>
            </w:r>
          </w:p>
        </w:tc>
      </w:tr>
      <w:tr w:rsidR="006E16F9" w:rsidRPr="006E16F9" w14:paraId="7136A6FE" w14:textId="77777777" w:rsidTr="00566943">
        <w:trPr>
          <w:jc w:val="center"/>
        </w:trPr>
        <w:tc>
          <w:tcPr>
            <w:tcW w:w="0" w:type="auto"/>
            <w:vMerge/>
            <w:hideMark/>
          </w:tcPr>
          <w:p w14:paraId="6A3600AE" w14:textId="77777777" w:rsidR="00D45EAB" w:rsidRPr="006E16F9" w:rsidRDefault="00D45EAB" w:rsidP="009411C1">
            <w:pPr>
              <w:spacing w:line="480" w:lineRule="auto"/>
              <w:ind w:firstLine="567"/>
              <w:jc w:val="both"/>
              <w:rPr>
                <w:rFonts w:asciiTheme="majorBidi" w:hAnsiTheme="majorBidi" w:cstheme="majorBidi"/>
                <w:sz w:val="22"/>
                <w:szCs w:val="22"/>
              </w:rPr>
            </w:pPr>
          </w:p>
        </w:tc>
        <w:tc>
          <w:tcPr>
            <w:tcW w:w="0" w:type="auto"/>
            <w:hideMark/>
          </w:tcPr>
          <w:p w14:paraId="34C51151"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Master 2</w:t>
            </w:r>
          </w:p>
        </w:tc>
        <w:tc>
          <w:tcPr>
            <w:tcW w:w="0" w:type="auto"/>
            <w:hideMark/>
          </w:tcPr>
          <w:p w14:paraId="07361ECE"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51</w:t>
            </w:r>
          </w:p>
        </w:tc>
        <w:tc>
          <w:tcPr>
            <w:tcW w:w="0" w:type="auto"/>
            <w:hideMark/>
          </w:tcPr>
          <w:p w14:paraId="42487829"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38.90</w:t>
            </w:r>
          </w:p>
        </w:tc>
      </w:tr>
      <w:tr w:rsidR="006E16F9" w:rsidRPr="006E16F9" w14:paraId="555A97F3" w14:textId="77777777" w:rsidTr="00566943">
        <w:trPr>
          <w:jc w:val="center"/>
        </w:trPr>
        <w:tc>
          <w:tcPr>
            <w:tcW w:w="0" w:type="auto"/>
            <w:vMerge/>
            <w:hideMark/>
          </w:tcPr>
          <w:p w14:paraId="58B13FE7" w14:textId="77777777" w:rsidR="00D45EAB" w:rsidRPr="006E16F9" w:rsidRDefault="00D45EAB" w:rsidP="009411C1">
            <w:pPr>
              <w:spacing w:line="480" w:lineRule="auto"/>
              <w:ind w:firstLine="567"/>
              <w:jc w:val="both"/>
              <w:rPr>
                <w:rFonts w:asciiTheme="majorBidi" w:hAnsiTheme="majorBidi" w:cstheme="majorBidi"/>
                <w:sz w:val="22"/>
                <w:szCs w:val="22"/>
              </w:rPr>
            </w:pPr>
          </w:p>
        </w:tc>
        <w:tc>
          <w:tcPr>
            <w:tcW w:w="0" w:type="auto"/>
            <w:hideMark/>
          </w:tcPr>
          <w:p w14:paraId="22ED74D6"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PhD</w:t>
            </w:r>
          </w:p>
        </w:tc>
        <w:tc>
          <w:tcPr>
            <w:tcW w:w="0" w:type="auto"/>
            <w:hideMark/>
          </w:tcPr>
          <w:p w14:paraId="0AA7E926"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11</w:t>
            </w:r>
          </w:p>
        </w:tc>
        <w:tc>
          <w:tcPr>
            <w:tcW w:w="0" w:type="auto"/>
            <w:hideMark/>
          </w:tcPr>
          <w:p w14:paraId="66A7FB25"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8.40</w:t>
            </w:r>
          </w:p>
        </w:tc>
      </w:tr>
      <w:tr w:rsidR="006E16F9" w:rsidRPr="006E16F9" w14:paraId="539EEA13" w14:textId="77777777" w:rsidTr="00566943">
        <w:trPr>
          <w:jc w:val="center"/>
        </w:trPr>
        <w:tc>
          <w:tcPr>
            <w:tcW w:w="0" w:type="auto"/>
            <w:vMerge w:val="restart"/>
            <w:hideMark/>
          </w:tcPr>
          <w:p w14:paraId="0F84397F"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Facebook Usage</w:t>
            </w:r>
          </w:p>
        </w:tc>
        <w:tc>
          <w:tcPr>
            <w:tcW w:w="0" w:type="auto"/>
            <w:hideMark/>
          </w:tcPr>
          <w:p w14:paraId="5E9E660C"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1-5 years</w:t>
            </w:r>
          </w:p>
        </w:tc>
        <w:tc>
          <w:tcPr>
            <w:tcW w:w="0" w:type="auto"/>
            <w:hideMark/>
          </w:tcPr>
          <w:p w14:paraId="7DBDBAF0"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22</w:t>
            </w:r>
          </w:p>
        </w:tc>
        <w:tc>
          <w:tcPr>
            <w:tcW w:w="0" w:type="auto"/>
            <w:hideMark/>
          </w:tcPr>
          <w:p w14:paraId="72B98E8F"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16.80</w:t>
            </w:r>
          </w:p>
        </w:tc>
      </w:tr>
      <w:tr w:rsidR="006E16F9" w:rsidRPr="006E16F9" w14:paraId="63BF5509" w14:textId="77777777" w:rsidTr="00566943">
        <w:trPr>
          <w:jc w:val="center"/>
        </w:trPr>
        <w:tc>
          <w:tcPr>
            <w:tcW w:w="0" w:type="auto"/>
            <w:vMerge/>
            <w:hideMark/>
          </w:tcPr>
          <w:p w14:paraId="1286CAEC" w14:textId="77777777" w:rsidR="00D45EAB" w:rsidRPr="006E16F9" w:rsidRDefault="00D45EAB" w:rsidP="009411C1">
            <w:pPr>
              <w:spacing w:line="480" w:lineRule="auto"/>
              <w:ind w:firstLine="567"/>
              <w:jc w:val="both"/>
              <w:rPr>
                <w:rFonts w:asciiTheme="majorBidi" w:hAnsiTheme="majorBidi" w:cstheme="majorBidi"/>
                <w:sz w:val="22"/>
                <w:szCs w:val="22"/>
              </w:rPr>
            </w:pPr>
          </w:p>
        </w:tc>
        <w:tc>
          <w:tcPr>
            <w:tcW w:w="0" w:type="auto"/>
            <w:hideMark/>
          </w:tcPr>
          <w:p w14:paraId="5823886A"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6-10 years</w:t>
            </w:r>
          </w:p>
        </w:tc>
        <w:tc>
          <w:tcPr>
            <w:tcW w:w="0" w:type="auto"/>
            <w:hideMark/>
          </w:tcPr>
          <w:p w14:paraId="66352BB0"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103</w:t>
            </w:r>
          </w:p>
        </w:tc>
        <w:tc>
          <w:tcPr>
            <w:tcW w:w="0" w:type="auto"/>
            <w:hideMark/>
          </w:tcPr>
          <w:p w14:paraId="20D9EF55"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78.60</w:t>
            </w:r>
          </w:p>
        </w:tc>
      </w:tr>
      <w:tr w:rsidR="006E16F9" w:rsidRPr="006E16F9" w14:paraId="4C03D22C" w14:textId="77777777" w:rsidTr="00566943">
        <w:trPr>
          <w:jc w:val="center"/>
        </w:trPr>
        <w:tc>
          <w:tcPr>
            <w:tcW w:w="0" w:type="auto"/>
            <w:hideMark/>
          </w:tcPr>
          <w:p w14:paraId="3E2E2D36" w14:textId="77777777" w:rsidR="00D45EAB" w:rsidRPr="006E16F9" w:rsidRDefault="00D45EAB" w:rsidP="009411C1">
            <w:pPr>
              <w:spacing w:line="480" w:lineRule="auto"/>
              <w:ind w:firstLine="567"/>
              <w:jc w:val="both"/>
              <w:rPr>
                <w:rFonts w:asciiTheme="majorBidi" w:hAnsiTheme="majorBidi" w:cstheme="majorBidi"/>
                <w:sz w:val="22"/>
                <w:szCs w:val="22"/>
              </w:rPr>
            </w:pPr>
          </w:p>
        </w:tc>
        <w:tc>
          <w:tcPr>
            <w:tcW w:w="0" w:type="auto"/>
            <w:hideMark/>
          </w:tcPr>
          <w:p w14:paraId="0C893C86"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11-15 years</w:t>
            </w:r>
          </w:p>
        </w:tc>
        <w:tc>
          <w:tcPr>
            <w:tcW w:w="0" w:type="auto"/>
            <w:hideMark/>
          </w:tcPr>
          <w:p w14:paraId="07E3943C"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6</w:t>
            </w:r>
          </w:p>
        </w:tc>
        <w:tc>
          <w:tcPr>
            <w:tcW w:w="0" w:type="auto"/>
            <w:hideMark/>
          </w:tcPr>
          <w:p w14:paraId="40BA7413"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4.60</w:t>
            </w:r>
          </w:p>
        </w:tc>
      </w:tr>
    </w:tbl>
    <w:p w14:paraId="63941D3A" w14:textId="77777777" w:rsidR="002946C2" w:rsidRPr="006E16F9" w:rsidRDefault="002946C2" w:rsidP="002946C2">
      <w:pPr>
        <w:spacing w:line="480" w:lineRule="auto"/>
        <w:rPr>
          <w:rFonts w:eastAsia="Calibri"/>
          <w:sz w:val="22"/>
          <w:szCs w:val="22"/>
          <w:lang w:eastAsia="en-US"/>
        </w:rPr>
      </w:pPr>
      <w:r w:rsidRPr="006E16F9">
        <w:rPr>
          <w:rFonts w:eastAsia="Calibri"/>
          <w:sz w:val="22"/>
          <w:szCs w:val="22"/>
          <w:lang w:eastAsia="en-US"/>
        </w:rPr>
        <w:t>Source: Prepared by the researchers based on the outputs of SPSS version 28.</w:t>
      </w:r>
    </w:p>
    <w:p w14:paraId="49A2B095" w14:textId="22095A32"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 xml:space="preserve">The statistical analysis revealed that most of the study sample consisted of females, accounting for 66.40%, compared to 33.60% males. This can be attributed to the fact that in Algeria, the number of </w:t>
      </w:r>
      <w:r w:rsidRPr="006E16F9">
        <w:rPr>
          <w:rFonts w:asciiTheme="majorBidi" w:hAnsiTheme="majorBidi" w:cstheme="majorBidi"/>
          <w:sz w:val="22"/>
          <w:szCs w:val="22"/>
        </w:rPr>
        <w:lastRenderedPageBreak/>
        <w:t>female students studying in various fields of social sciences, particularly in economic sciences, significantly exceeds the number of male students, who usually opt for scientific and technical fields. Moreover, the results showed that most of the study sample were aged between 18 and 22 years, accounting for 39.70%, followed by the age group of 23 to 27 years, constituting 38.20%. The age group of 33 to 37 years accounted for 14.50%, followed by the age group of 28 to 32 years, which included 4.60%. Lastly, students aged 38 years and above represented 3.10% of the sample. These results indicate the relatively young age of the student sample, a result of adopting the LMD system in Algeria in recent years, which significantly reduces the number of years of university education compared to the previous classical system.</w:t>
      </w:r>
    </w:p>
    <w:p w14:paraId="015D32BA"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Regarding the educational stage, Master 1 students represented the highest percentage of the sample, accounting for 52.70%, followed by Master 2 students, constituting 38.90%, and finally, PhD students, who made up 8.40% of the sample. These percentages are consistent with the university's capacity in terms of the number of pedagogical positions it can offer annually. As for the length of Facebook usage, students who have been using the site for 6 to 10 years ranked first, accounting for 78.60%, followed by those who have been using the site for 1 to 5 years, constituting 16.80%. Finally, the category of students who have been using Facebook for more than 10 years represented 4.60% of the sample. These are very logical percentages given the recent global popularity of the social networking site Facebook.</w:t>
      </w:r>
    </w:p>
    <w:p w14:paraId="35CF38D5" w14:textId="72483854" w:rsidR="00CA25DC" w:rsidRPr="006E16F9" w:rsidRDefault="002946C2" w:rsidP="009411C1">
      <w:pPr>
        <w:spacing w:line="480" w:lineRule="auto"/>
        <w:rPr>
          <w:rFonts w:asciiTheme="majorBidi" w:hAnsiTheme="majorBidi" w:cstheme="majorBidi"/>
          <w:i/>
          <w:iCs/>
          <w:sz w:val="22"/>
          <w:szCs w:val="22"/>
        </w:rPr>
      </w:pPr>
      <w:r w:rsidRPr="006E16F9">
        <w:rPr>
          <w:rFonts w:asciiTheme="majorBidi" w:hAnsiTheme="majorBidi" w:cstheme="majorBidi"/>
          <w:b/>
          <w:bCs/>
          <w:i/>
          <w:iCs/>
          <w:sz w:val="22"/>
          <w:szCs w:val="22"/>
        </w:rPr>
        <w:t>Descriptive Analysis of Study Variables</w:t>
      </w:r>
    </w:p>
    <w:p w14:paraId="6B7BECEC"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The results of the statistical study revealed positive tendencies among students towards different sections of their individual use of Facebook for learning banking sciences, where the overall arithmetic mean was 4.07, which is higher than the hypothetical arithmetic mean of 3. The standard deviation was estimated at 0.522, and almost all sections of this dimension received arithmetic averages higher than the theoretical average, especially the individual use of Facebook by students to expand their information in the banking field and understand modern banking terms. The only section that received a low arithmetic mean of 1.92 was section 3, where it was clear that students were not interested in visiting the official pages of the Central Bank of Algeria and commercial banks. This can be attributed to students relying on the official websites of these banks instead of their Facebook pages.</w:t>
      </w:r>
    </w:p>
    <w:p w14:paraId="3AA71970" w14:textId="77777777" w:rsidR="009411C1" w:rsidRPr="006E16F9" w:rsidRDefault="009411C1" w:rsidP="009411C1">
      <w:pPr>
        <w:spacing w:line="480" w:lineRule="auto"/>
        <w:jc w:val="both"/>
        <w:rPr>
          <w:rFonts w:asciiTheme="majorBidi" w:hAnsiTheme="majorBidi" w:cstheme="majorBidi"/>
          <w:sz w:val="22"/>
          <w:szCs w:val="22"/>
        </w:rPr>
      </w:pPr>
    </w:p>
    <w:p w14:paraId="0C3D0F60" w14:textId="77777777" w:rsidR="00D45EAB" w:rsidRPr="006E16F9" w:rsidRDefault="00D45EAB" w:rsidP="009411C1">
      <w:pPr>
        <w:spacing w:line="480" w:lineRule="auto"/>
        <w:ind w:firstLine="567"/>
        <w:jc w:val="center"/>
        <w:rPr>
          <w:rFonts w:asciiTheme="majorBidi" w:hAnsiTheme="majorBidi" w:cstheme="majorBidi"/>
          <w:b/>
          <w:bCs/>
          <w:sz w:val="22"/>
          <w:szCs w:val="22"/>
        </w:rPr>
      </w:pPr>
      <w:r w:rsidRPr="006E16F9">
        <w:rPr>
          <w:rFonts w:asciiTheme="majorBidi" w:hAnsiTheme="majorBidi" w:cstheme="majorBidi"/>
          <w:b/>
          <w:bCs/>
          <w:sz w:val="22"/>
          <w:szCs w:val="22"/>
        </w:rPr>
        <w:lastRenderedPageBreak/>
        <w:t>Table 4. Descriptive Analysis of Individual Use of Facebook by Students</w:t>
      </w:r>
    </w:p>
    <w:tbl>
      <w:tblPr>
        <w:tblStyle w:val="Grilledutableau"/>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
        <w:gridCol w:w="5831"/>
        <w:gridCol w:w="705"/>
        <w:gridCol w:w="1113"/>
        <w:gridCol w:w="1105"/>
      </w:tblGrid>
      <w:tr w:rsidR="006E16F9" w:rsidRPr="006E16F9" w14:paraId="02EC40B9" w14:textId="77777777" w:rsidTr="00566943">
        <w:trPr>
          <w:jc w:val="center"/>
        </w:trPr>
        <w:tc>
          <w:tcPr>
            <w:tcW w:w="250" w:type="dxa"/>
            <w:tcBorders>
              <w:top w:val="single" w:sz="4" w:space="0" w:color="auto"/>
              <w:bottom w:val="single" w:sz="4" w:space="0" w:color="auto"/>
            </w:tcBorders>
            <w:hideMark/>
          </w:tcPr>
          <w:p w14:paraId="1D83903F" w14:textId="77777777" w:rsidR="00D45EAB" w:rsidRPr="006E16F9" w:rsidRDefault="00D45EAB" w:rsidP="009411C1">
            <w:pPr>
              <w:spacing w:line="480" w:lineRule="auto"/>
              <w:jc w:val="center"/>
              <w:rPr>
                <w:rFonts w:asciiTheme="majorBidi" w:hAnsiTheme="majorBidi" w:cstheme="majorBidi"/>
                <w:sz w:val="22"/>
                <w:szCs w:val="22"/>
              </w:rPr>
            </w:pPr>
          </w:p>
        </w:tc>
        <w:tc>
          <w:tcPr>
            <w:tcW w:w="5831" w:type="dxa"/>
            <w:tcBorders>
              <w:top w:val="single" w:sz="4" w:space="0" w:color="auto"/>
              <w:bottom w:val="single" w:sz="4" w:space="0" w:color="auto"/>
            </w:tcBorders>
            <w:hideMark/>
          </w:tcPr>
          <w:p w14:paraId="5B418778" w14:textId="77777777" w:rsidR="00D45EAB" w:rsidRPr="006E16F9" w:rsidRDefault="00D45EAB" w:rsidP="009411C1">
            <w:pPr>
              <w:spacing w:line="480" w:lineRule="auto"/>
              <w:ind w:firstLine="567"/>
              <w:jc w:val="center"/>
              <w:rPr>
                <w:rFonts w:asciiTheme="majorBidi" w:hAnsiTheme="majorBidi" w:cstheme="majorBidi"/>
                <w:sz w:val="22"/>
                <w:szCs w:val="22"/>
              </w:rPr>
            </w:pPr>
            <w:r w:rsidRPr="006E16F9">
              <w:rPr>
                <w:rFonts w:asciiTheme="majorBidi" w:hAnsiTheme="majorBidi" w:cstheme="majorBidi"/>
                <w:sz w:val="22"/>
                <w:szCs w:val="22"/>
              </w:rPr>
              <w:t>Statement</w:t>
            </w:r>
          </w:p>
        </w:tc>
        <w:tc>
          <w:tcPr>
            <w:tcW w:w="705" w:type="dxa"/>
            <w:tcBorders>
              <w:top w:val="single" w:sz="4" w:space="0" w:color="auto"/>
              <w:bottom w:val="single" w:sz="4" w:space="0" w:color="auto"/>
            </w:tcBorders>
            <w:hideMark/>
          </w:tcPr>
          <w:p w14:paraId="7BF6E47A"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Mean</w:t>
            </w:r>
          </w:p>
        </w:tc>
        <w:tc>
          <w:tcPr>
            <w:tcW w:w="1113" w:type="dxa"/>
            <w:tcBorders>
              <w:top w:val="single" w:sz="4" w:space="0" w:color="auto"/>
              <w:bottom w:val="single" w:sz="4" w:space="0" w:color="auto"/>
            </w:tcBorders>
            <w:hideMark/>
          </w:tcPr>
          <w:p w14:paraId="49A80D03"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Standard Deviation</w:t>
            </w:r>
          </w:p>
        </w:tc>
        <w:tc>
          <w:tcPr>
            <w:tcW w:w="1105" w:type="dxa"/>
            <w:tcBorders>
              <w:top w:val="single" w:sz="4" w:space="0" w:color="auto"/>
              <w:bottom w:val="single" w:sz="4" w:space="0" w:color="auto"/>
            </w:tcBorders>
            <w:hideMark/>
          </w:tcPr>
          <w:p w14:paraId="4F080D1F"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Level of Agreement</w:t>
            </w:r>
          </w:p>
        </w:tc>
      </w:tr>
      <w:tr w:rsidR="006E16F9" w:rsidRPr="006E16F9" w14:paraId="5B5EF694" w14:textId="77777777" w:rsidTr="00566943">
        <w:trPr>
          <w:jc w:val="center"/>
        </w:trPr>
        <w:tc>
          <w:tcPr>
            <w:tcW w:w="250" w:type="dxa"/>
            <w:tcBorders>
              <w:top w:val="single" w:sz="4" w:space="0" w:color="auto"/>
            </w:tcBorders>
            <w:hideMark/>
          </w:tcPr>
          <w:p w14:paraId="3C7BA03F"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w:t>
            </w:r>
          </w:p>
        </w:tc>
        <w:tc>
          <w:tcPr>
            <w:tcW w:w="5831" w:type="dxa"/>
            <w:tcBorders>
              <w:top w:val="single" w:sz="4" w:space="0" w:color="auto"/>
            </w:tcBorders>
            <w:hideMark/>
          </w:tcPr>
          <w:p w14:paraId="6DBF5CB7"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Use Facebook to understand new terms and concepts related to banking sciences.</w:t>
            </w:r>
          </w:p>
        </w:tc>
        <w:tc>
          <w:tcPr>
            <w:tcW w:w="705" w:type="dxa"/>
            <w:tcBorders>
              <w:top w:val="single" w:sz="4" w:space="0" w:color="auto"/>
            </w:tcBorders>
            <w:hideMark/>
          </w:tcPr>
          <w:p w14:paraId="6154C26D"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4.64</w:t>
            </w:r>
          </w:p>
        </w:tc>
        <w:tc>
          <w:tcPr>
            <w:tcW w:w="1113" w:type="dxa"/>
            <w:tcBorders>
              <w:top w:val="single" w:sz="4" w:space="0" w:color="auto"/>
            </w:tcBorders>
            <w:hideMark/>
          </w:tcPr>
          <w:p w14:paraId="0BB3C9CF"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0.702</w:t>
            </w:r>
          </w:p>
        </w:tc>
        <w:tc>
          <w:tcPr>
            <w:tcW w:w="1105" w:type="dxa"/>
            <w:tcBorders>
              <w:top w:val="single" w:sz="4" w:space="0" w:color="auto"/>
            </w:tcBorders>
            <w:hideMark/>
          </w:tcPr>
          <w:p w14:paraId="0B51C77E"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Very High</w:t>
            </w:r>
          </w:p>
        </w:tc>
      </w:tr>
      <w:tr w:rsidR="006E16F9" w:rsidRPr="006E16F9" w14:paraId="75B29C85" w14:textId="77777777" w:rsidTr="00566943">
        <w:trPr>
          <w:jc w:val="center"/>
        </w:trPr>
        <w:tc>
          <w:tcPr>
            <w:tcW w:w="250" w:type="dxa"/>
            <w:hideMark/>
          </w:tcPr>
          <w:p w14:paraId="65266261"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2</w:t>
            </w:r>
          </w:p>
        </w:tc>
        <w:tc>
          <w:tcPr>
            <w:tcW w:w="5831" w:type="dxa"/>
            <w:hideMark/>
          </w:tcPr>
          <w:p w14:paraId="0C99228B"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Use Facebook to expand your current knowledge about banking lessons and lectures.</w:t>
            </w:r>
          </w:p>
        </w:tc>
        <w:tc>
          <w:tcPr>
            <w:tcW w:w="705" w:type="dxa"/>
            <w:hideMark/>
          </w:tcPr>
          <w:p w14:paraId="69CEF946"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4.65</w:t>
            </w:r>
          </w:p>
        </w:tc>
        <w:tc>
          <w:tcPr>
            <w:tcW w:w="1113" w:type="dxa"/>
            <w:hideMark/>
          </w:tcPr>
          <w:p w14:paraId="443DD6E9"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0.743</w:t>
            </w:r>
          </w:p>
        </w:tc>
        <w:tc>
          <w:tcPr>
            <w:tcW w:w="1105" w:type="dxa"/>
            <w:hideMark/>
          </w:tcPr>
          <w:p w14:paraId="136A7261"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Very High</w:t>
            </w:r>
          </w:p>
        </w:tc>
      </w:tr>
      <w:tr w:rsidR="006E16F9" w:rsidRPr="006E16F9" w14:paraId="6D0B79B7" w14:textId="77777777" w:rsidTr="00566943">
        <w:trPr>
          <w:jc w:val="center"/>
        </w:trPr>
        <w:tc>
          <w:tcPr>
            <w:tcW w:w="250" w:type="dxa"/>
            <w:hideMark/>
          </w:tcPr>
          <w:p w14:paraId="602B9DBD"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3</w:t>
            </w:r>
          </w:p>
        </w:tc>
        <w:tc>
          <w:tcPr>
            <w:tcW w:w="5831" w:type="dxa"/>
            <w:hideMark/>
          </w:tcPr>
          <w:p w14:paraId="044F4C95"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Regularly visit and explore the official pages of the Bank of Algeria and Algerian commercial banks.</w:t>
            </w:r>
          </w:p>
        </w:tc>
        <w:tc>
          <w:tcPr>
            <w:tcW w:w="705" w:type="dxa"/>
            <w:hideMark/>
          </w:tcPr>
          <w:p w14:paraId="71399956"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1.92</w:t>
            </w:r>
          </w:p>
        </w:tc>
        <w:tc>
          <w:tcPr>
            <w:tcW w:w="1113" w:type="dxa"/>
            <w:hideMark/>
          </w:tcPr>
          <w:p w14:paraId="49BC74B3"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0.813</w:t>
            </w:r>
          </w:p>
        </w:tc>
        <w:tc>
          <w:tcPr>
            <w:tcW w:w="1105" w:type="dxa"/>
            <w:hideMark/>
          </w:tcPr>
          <w:p w14:paraId="5DD5C5A0"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Low</w:t>
            </w:r>
          </w:p>
        </w:tc>
      </w:tr>
      <w:tr w:rsidR="006E16F9" w:rsidRPr="006E16F9" w14:paraId="13ACA6BA" w14:textId="77777777" w:rsidTr="00566943">
        <w:trPr>
          <w:jc w:val="center"/>
        </w:trPr>
        <w:tc>
          <w:tcPr>
            <w:tcW w:w="250" w:type="dxa"/>
            <w:hideMark/>
          </w:tcPr>
          <w:p w14:paraId="6C496594"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4</w:t>
            </w:r>
          </w:p>
        </w:tc>
        <w:tc>
          <w:tcPr>
            <w:tcW w:w="5831" w:type="dxa"/>
            <w:hideMark/>
          </w:tcPr>
          <w:p w14:paraId="56CAC198"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Use Facebook to download books, magazines, and specialised research in the field of banking economy.</w:t>
            </w:r>
          </w:p>
        </w:tc>
        <w:tc>
          <w:tcPr>
            <w:tcW w:w="705" w:type="dxa"/>
            <w:hideMark/>
          </w:tcPr>
          <w:p w14:paraId="3B71D489"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4.56</w:t>
            </w:r>
          </w:p>
        </w:tc>
        <w:tc>
          <w:tcPr>
            <w:tcW w:w="1113" w:type="dxa"/>
            <w:hideMark/>
          </w:tcPr>
          <w:p w14:paraId="18F37053"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0.795</w:t>
            </w:r>
          </w:p>
        </w:tc>
        <w:tc>
          <w:tcPr>
            <w:tcW w:w="1105" w:type="dxa"/>
            <w:hideMark/>
          </w:tcPr>
          <w:p w14:paraId="4E28F0D9"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Very High</w:t>
            </w:r>
          </w:p>
        </w:tc>
      </w:tr>
      <w:tr w:rsidR="006E16F9" w:rsidRPr="006E16F9" w14:paraId="4FF9A89F" w14:textId="77777777" w:rsidTr="00566943">
        <w:trPr>
          <w:jc w:val="center"/>
        </w:trPr>
        <w:tc>
          <w:tcPr>
            <w:tcW w:w="250" w:type="dxa"/>
            <w:tcBorders>
              <w:bottom w:val="single" w:sz="4" w:space="0" w:color="auto"/>
            </w:tcBorders>
            <w:hideMark/>
          </w:tcPr>
          <w:p w14:paraId="6184E4A4"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5</w:t>
            </w:r>
          </w:p>
        </w:tc>
        <w:tc>
          <w:tcPr>
            <w:tcW w:w="5831" w:type="dxa"/>
            <w:tcBorders>
              <w:bottom w:val="single" w:sz="4" w:space="0" w:color="auto"/>
            </w:tcBorders>
            <w:hideMark/>
          </w:tcPr>
          <w:p w14:paraId="424454D3"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Use Facebook to keep up with all the lesson programming, exams, time distribution, etc.</w:t>
            </w:r>
          </w:p>
        </w:tc>
        <w:tc>
          <w:tcPr>
            <w:tcW w:w="705" w:type="dxa"/>
            <w:tcBorders>
              <w:bottom w:val="single" w:sz="4" w:space="0" w:color="auto"/>
            </w:tcBorders>
            <w:hideMark/>
          </w:tcPr>
          <w:p w14:paraId="5276F60C"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4.60</w:t>
            </w:r>
          </w:p>
        </w:tc>
        <w:tc>
          <w:tcPr>
            <w:tcW w:w="1113" w:type="dxa"/>
            <w:tcBorders>
              <w:bottom w:val="single" w:sz="4" w:space="0" w:color="auto"/>
            </w:tcBorders>
            <w:hideMark/>
          </w:tcPr>
          <w:p w14:paraId="38CA0A91"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0.741</w:t>
            </w:r>
          </w:p>
        </w:tc>
        <w:tc>
          <w:tcPr>
            <w:tcW w:w="1105" w:type="dxa"/>
            <w:tcBorders>
              <w:bottom w:val="single" w:sz="4" w:space="0" w:color="auto"/>
            </w:tcBorders>
            <w:hideMark/>
          </w:tcPr>
          <w:p w14:paraId="3A043F35"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Very High</w:t>
            </w:r>
          </w:p>
        </w:tc>
      </w:tr>
      <w:tr w:rsidR="006E16F9" w:rsidRPr="006E16F9" w14:paraId="0A82AD0F" w14:textId="77777777" w:rsidTr="00566943">
        <w:trPr>
          <w:jc w:val="center"/>
        </w:trPr>
        <w:tc>
          <w:tcPr>
            <w:tcW w:w="6081" w:type="dxa"/>
            <w:gridSpan w:val="2"/>
            <w:tcBorders>
              <w:top w:val="single" w:sz="4" w:space="0" w:color="auto"/>
              <w:bottom w:val="single" w:sz="4" w:space="0" w:color="auto"/>
            </w:tcBorders>
            <w:hideMark/>
          </w:tcPr>
          <w:p w14:paraId="37C6C9D5"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Total</w:t>
            </w:r>
          </w:p>
        </w:tc>
        <w:tc>
          <w:tcPr>
            <w:tcW w:w="705" w:type="dxa"/>
            <w:tcBorders>
              <w:top w:val="single" w:sz="4" w:space="0" w:color="auto"/>
              <w:bottom w:val="single" w:sz="4" w:space="0" w:color="auto"/>
            </w:tcBorders>
            <w:hideMark/>
          </w:tcPr>
          <w:p w14:paraId="6039C3B3"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4.07</w:t>
            </w:r>
          </w:p>
        </w:tc>
        <w:tc>
          <w:tcPr>
            <w:tcW w:w="1113" w:type="dxa"/>
            <w:tcBorders>
              <w:top w:val="single" w:sz="4" w:space="0" w:color="auto"/>
              <w:bottom w:val="single" w:sz="4" w:space="0" w:color="auto"/>
            </w:tcBorders>
            <w:hideMark/>
          </w:tcPr>
          <w:p w14:paraId="23158345"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0.522</w:t>
            </w:r>
          </w:p>
        </w:tc>
        <w:tc>
          <w:tcPr>
            <w:tcW w:w="1105" w:type="dxa"/>
            <w:tcBorders>
              <w:top w:val="single" w:sz="4" w:space="0" w:color="auto"/>
              <w:bottom w:val="single" w:sz="4" w:space="0" w:color="auto"/>
            </w:tcBorders>
            <w:hideMark/>
          </w:tcPr>
          <w:p w14:paraId="0B59AE5C"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High</w:t>
            </w:r>
          </w:p>
        </w:tc>
      </w:tr>
    </w:tbl>
    <w:p w14:paraId="5A4E4730" w14:textId="77777777" w:rsidR="002946C2" w:rsidRPr="006E16F9" w:rsidRDefault="002946C2" w:rsidP="002946C2">
      <w:pPr>
        <w:spacing w:line="480" w:lineRule="auto"/>
        <w:rPr>
          <w:rFonts w:eastAsia="Calibri"/>
          <w:sz w:val="22"/>
          <w:szCs w:val="22"/>
          <w:lang w:eastAsia="en-US"/>
        </w:rPr>
      </w:pPr>
      <w:r w:rsidRPr="006E16F9">
        <w:rPr>
          <w:rFonts w:eastAsia="Calibri"/>
          <w:sz w:val="22"/>
          <w:szCs w:val="22"/>
          <w:lang w:eastAsia="en-US"/>
        </w:rPr>
        <w:t>Source: Prepared by the researchers based on the outputs of SPSS version 28.</w:t>
      </w:r>
    </w:p>
    <w:p w14:paraId="72AC8DFC"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The results of Table 5 below indicate positive tendencies among students towards interactive use of Facebook with peers for learning banking sciences, where the overall arithmetic mean was 4.04, and the standard deviation was 0.526. Almost all sections of this axis received arithmetic averages higher than the hypothetical average of 3. The students indicated that they use the Messenger application to exchange files related to their banking research, and they also use Facebook to collaborate in preparing their research and share information in their field of specialization. The only section that did not gain the students' approval was section 10, where the results confirmed the students' lack of interest in creating groups and pages within the field of banking sciences, as this section received a low arithmetic mean of 2.11. This can be attributed to their preference for exchanging information via the Messenger application due to its ease of use and confidentiality.</w:t>
      </w:r>
    </w:p>
    <w:p w14:paraId="3787A7A4" w14:textId="77777777" w:rsidR="009411C1" w:rsidRPr="006E16F9" w:rsidRDefault="009411C1" w:rsidP="009411C1">
      <w:pPr>
        <w:spacing w:line="480" w:lineRule="auto"/>
        <w:jc w:val="both"/>
        <w:rPr>
          <w:rFonts w:asciiTheme="majorBidi" w:hAnsiTheme="majorBidi" w:cstheme="majorBidi"/>
          <w:sz w:val="22"/>
          <w:szCs w:val="22"/>
        </w:rPr>
      </w:pPr>
    </w:p>
    <w:p w14:paraId="6A372321" w14:textId="77777777" w:rsidR="009411C1" w:rsidRPr="006E16F9" w:rsidRDefault="009411C1" w:rsidP="009411C1">
      <w:pPr>
        <w:spacing w:line="480" w:lineRule="auto"/>
        <w:jc w:val="both"/>
        <w:rPr>
          <w:rFonts w:asciiTheme="majorBidi" w:hAnsiTheme="majorBidi" w:cstheme="majorBidi"/>
          <w:sz w:val="22"/>
          <w:szCs w:val="22"/>
        </w:rPr>
      </w:pPr>
    </w:p>
    <w:p w14:paraId="60CFFA46" w14:textId="77777777" w:rsidR="00D45EAB" w:rsidRPr="006E16F9" w:rsidRDefault="00D45EAB" w:rsidP="009411C1">
      <w:pPr>
        <w:spacing w:line="480" w:lineRule="auto"/>
        <w:ind w:firstLine="567"/>
        <w:jc w:val="both"/>
        <w:rPr>
          <w:rFonts w:asciiTheme="majorBidi" w:hAnsiTheme="majorBidi" w:cstheme="majorBidi"/>
          <w:b/>
          <w:bCs/>
          <w:sz w:val="22"/>
          <w:szCs w:val="22"/>
        </w:rPr>
      </w:pPr>
      <w:r w:rsidRPr="006E16F9">
        <w:rPr>
          <w:rFonts w:asciiTheme="majorBidi" w:hAnsiTheme="majorBidi" w:cstheme="majorBidi"/>
          <w:b/>
          <w:bCs/>
          <w:sz w:val="22"/>
          <w:szCs w:val="22"/>
        </w:rPr>
        <w:lastRenderedPageBreak/>
        <w:t>Table 5. Descriptive Analysis of Interactive Use of Facebook with Peers by Students</w:t>
      </w:r>
    </w:p>
    <w:tbl>
      <w:tblPr>
        <w:tblStyle w:val="Grilledutableau"/>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
        <w:gridCol w:w="4782"/>
        <w:gridCol w:w="717"/>
        <w:gridCol w:w="1375"/>
        <w:gridCol w:w="1470"/>
      </w:tblGrid>
      <w:tr w:rsidR="006E16F9" w:rsidRPr="006E16F9" w14:paraId="23D3CFF5" w14:textId="77777777" w:rsidTr="00566943">
        <w:trPr>
          <w:jc w:val="center"/>
        </w:trPr>
        <w:tc>
          <w:tcPr>
            <w:tcW w:w="0" w:type="auto"/>
            <w:tcBorders>
              <w:top w:val="single" w:sz="4" w:space="0" w:color="auto"/>
              <w:bottom w:val="single" w:sz="4" w:space="0" w:color="auto"/>
            </w:tcBorders>
            <w:hideMark/>
          </w:tcPr>
          <w:p w14:paraId="25C147D7" w14:textId="77777777" w:rsidR="00D45EAB" w:rsidRPr="006E16F9" w:rsidRDefault="00D45EAB" w:rsidP="009411C1">
            <w:pPr>
              <w:spacing w:line="480" w:lineRule="auto"/>
              <w:jc w:val="center"/>
              <w:rPr>
                <w:rFonts w:asciiTheme="majorBidi" w:hAnsiTheme="majorBidi" w:cstheme="majorBidi"/>
                <w:sz w:val="22"/>
                <w:szCs w:val="22"/>
              </w:rPr>
            </w:pPr>
          </w:p>
        </w:tc>
        <w:tc>
          <w:tcPr>
            <w:tcW w:w="0" w:type="auto"/>
            <w:tcBorders>
              <w:top w:val="single" w:sz="4" w:space="0" w:color="auto"/>
              <w:bottom w:val="single" w:sz="4" w:space="0" w:color="auto"/>
            </w:tcBorders>
            <w:hideMark/>
          </w:tcPr>
          <w:p w14:paraId="02EDD8FA" w14:textId="77777777" w:rsidR="00D45EAB" w:rsidRPr="006E16F9" w:rsidRDefault="00D45EAB" w:rsidP="009411C1">
            <w:pPr>
              <w:spacing w:line="480" w:lineRule="auto"/>
              <w:ind w:firstLine="567"/>
              <w:jc w:val="center"/>
              <w:rPr>
                <w:rFonts w:asciiTheme="majorBidi" w:hAnsiTheme="majorBidi" w:cstheme="majorBidi"/>
                <w:sz w:val="22"/>
                <w:szCs w:val="22"/>
              </w:rPr>
            </w:pPr>
            <w:r w:rsidRPr="006E16F9">
              <w:rPr>
                <w:rFonts w:asciiTheme="majorBidi" w:hAnsiTheme="majorBidi" w:cstheme="majorBidi"/>
                <w:sz w:val="22"/>
                <w:szCs w:val="22"/>
              </w:rPr>
              <w:t>Statement</w:t>
            </w:r>
          </w:p>
        </w:tc>
        <w:tc>
          <w:tcPr>
            <w:tcW w:w="0" w:type="auto"/>
            <w:tcBorders>
              <w:top w:val="single" w:sz="4" w:space="0" w:color="auto"/>
              <w:bottom w:val="single" w:sz="4" w:space="0" w:color="auto"/>
            </w:tcBorders>
            <w:hideMark/>
          </w:tcPr>
          <w:p w14:paraId="79A9A870"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Mean</w:t>
            </w:r>
          </w:p>
        </w:tc>
        <w:tc>
          <w:tcPr>
            <w:tcW w:w="0" w:type="auto"/>
            <w:tcBorders>
              <w:top w:val="single" w:sz="4" w:space="0" w:color="auto"/>
              <w:bottom w:val="single" w:sz="4" w:space="0" w:color="auto"/>
            </w:tcBorders>
            <w:hideMark/>
          </w:tcPr>
          <w:p w14:paraId="7CAFC4AD"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Standard Deviation</w:t>
            </w:r>
          </w:p>
        </w:tc>
        <w:tc>
          <w:tcPr>
            <w:tcW w:w="0" w:type="auto"/>
            <w:tcBorders>
              <w:top w:val="single" w:sz="4" w:space="0" w:color="auto"/>
              <w:bottom w:val="single" w:sz="4" w:space="0" w:color="auto"/>
            </w:tcBorders>
            <w:hideMark/>
          </w:tcPr>
          <w:p w14:paraId="7E1918A8"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Level of Agreement</w:t>
            </w:r>
          </w:p>
        </w:tc>
      </w:tr>
      <w:tr w:rsidR="006E16F9" w:rsidRPr="006E16F9" w14:paraId="7B524224" w14:textId="77777777" w:rsidTr="00566943">
        <w:trPr>
          <w:jc w:val="center"/>
        </w:trPr>
        <w:tc>
          <w:tcPr>
            <w:tcW w:w="0" w:type="auto"/>
            <w:tcBorders>
              <w:top w:val="single" w:sz="4" w:space="0" w:color="auto"/>
            </w:tcBorders>
            <w:hideMark/>
          </w:tcPr>
          <w:p w14:paraId="0FDDA547"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6</w:t>
            </w:r>
          </w:p>
        </w:tc>
        <w:tc>
          <w:tcPr>
            <w:tcW w:w="0" w:type="auto"/>
            <w:tcBorders>
              <w:top w:val="single" w:sz="4" w:space="0" w:color="auto"/>
            </w:tcBorders>
            <w:hideMark/>
          </w:tcPr>
          <w:p w14:paraId="451A3BE8"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You collaborate with your peers to complete the required banking assignments and research through Facebook.</w:t>
            </w:r>
          </w:p>
        </w:tc>
        <w:tc>
          <w:tcPr>
            <w:tcW w:w="0" w:type="auto"/>
            <w:tcBorders>
              <w:top w:val="single" w:sz="4" w:space="0" w:color="auto"/>
            </w:tcBorders>
            <w:hideMark/>
          </w:tcPr>
          <w:p w14:paraId="1A790614"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4.53</w:t>
            </w:r>
          </w:p>
        </w:tc>
        <w:tc>
          <w:tcPr>
            <w:tcW w:w="0" w:type="auto"/>
            <w:tcBorders>
              <w:top w:val="single" w:sz="4" w:space="0" w:color="auto"/>
            </w:tcBorders>
            <w:hideMark/>
          </w:tcPr>
          <w:p w14:paraId="2FEAFC17"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0.889</w:t>
            </w:r>
          </w:p>
        </w:tc>
        <w:tc>
          <w:tcPr>
            <w:tcW w:w="0" w:type="auto"/>
            <w:tcBorders>
              <w:top w:val="single" w:sz="4" w:space="0" w:color="auto"/>
            </w:tcBorders>
            <w:hideMark/>
          </w:tcPr>
          <w:p w14:paraId="64D5DB7D"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Very High</w:t>
            </w:r>
          </w:p>
        </w:tc>
      </w:tr>
      <w:tr w:rsidR="006E16F9" w:rsidRPr="006E16F9" w14:paraId="2587C75E" w14:textId="77777777" w:rsidTr="00566943">
        <w:trPr>
          <w:jc w:val="center"/>
        </w:trPr>
        <w:tc>
          <w:tcPr>
            <w:tcW w:w="0" w:type="auto"/>
            <w:hideMark/>
          </w:tcPr>
          <w:p w14:paraId="1DC06953"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7</w:t>
            </w:r>
          </w:p>
        </w:tc>
        <w:tc>
          <w:tcPr>
            <w:tcW w:w="0" w:type="auto"/>
            <w:hideMark/>
          </w:tcPr>
          <w:p w14:paraId="79954D92"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You answer various questions presented to you by your peers in banking through Facebook.</w:t>
            </w:r>
          </w:p>
        </w:tc>
        <w:tc>
          <w:tcPr>
            <w:tcW w:w="0" w:type="auto"/>
            <w:hideMark/>
          </w:tcPr>
          <w:p w14:paraId="6FCDD19F"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4.48</w:t>
            </w:r>
          </w:p>
        </w:tc>
        <w:tc>
          <w:tcPr>
            <w:tcW w:w="0" w:type="auto"/>
            <w:hideMark/>
          </w:tcPr>
          <w:p w14:paraId="45EFBD11"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0.778</w:t>
            </w:r>
          </w:p>
        </w:tc>
        <w:tc>
          <w:tcPr>
            <w:tcW w:w="0" w:type="auto"/>
            <w:hideMark/>
          </w:tcPr>
          <w:p w14:paraId="19351C34"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Very High</w:t>
            </w:r>
          </w:p>
        </w:tc>
      </w:tr>
      <w:tr w:rsidR="006E16F9" w:rsidRPr="006E16F9" w14:paraId="0BB38734" w14:textId="77777777" w:rsidTr="00566943">
        <w:trPr>
          <w:jc w:val="center"/>
        </w:trPr>
        <w:tc>
          <w:tcPr>
            <w:tcW w:w="0" w:type="auto"/>
            <w:hideMark/>
          </w:tcPr>
          <w:p w14:paraId="64F817C5"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8</w:t>
            </w:r>
          </w:p>
        </w:tc>
        <w:tc>
          <w:tcPr>
            <w:tcW w:w="0" w:type="auto"/>
            <w:hideMark/>
          </w:tcPr>
          <w:p w14:paraId="1CB4CA5E"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You publish and share with your peers all the information, pictures, and videos related to your speciality.</w:t>
            </w:r>
          </w:p>
        </w:tc>
        <w:tc>
          <w:tcPr>
            <w:tcW w:w="0" w:type="auto"/>
            <w:hideMark/>
          </w:tcPr>
          <w:p w14:paraId="5EC43DE8"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4.55</w:t>
            </w:r>
          </w:p>
        </w:tc>
        <w:tc>
          <w:tcPr>
            <w:tcW w:w="0" w:type="auto"/>
            <w:hideMark/>
          </w:tcPr>
          <w:p w14:paraId="2987CB3E"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0.834</w:t>
            </w:r>
          </w:p>
        </w:tc>
        <w:tc>
          <w:tcPr>
            <w:tcW w:w="0" w:type="auto"/>
            <w:hideMark/>
          </w:tcPr>
          <w:p w14:paraId="598CDAD2"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Very High</w:t>
            </w:r>
          </w:p>
        </w:tc>
      </w:tr>
      <w:tr w:rsidR="006E16F9" w:rsidRPr="006E16F9" w14:paraId="17CFA2DB" w14:textId="77777777" w:rsidTr="00566943">
        <w:trPr>
          <w:jc w:val="center"/>
        </w:trPr>
        <w:tc>
          <w:tcPr>
            <w:tcW w:w="0" w:type="auto"/>
            <w:hideMark/>
          </w:tcPr>
          <w:p w14:paraId="0156925D"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9</w:t>
            </w:r>
          </w:p>
        </w:tc>
        <w:tc>
          <w:tcPr>
            <w:tcW w:w="0" w:type="auto"/>
            <w:hideMark/>
          </w:tcPr>
          <w:p w14:paraId="71399D4C"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You exchange files related to banking research and everything related to the speciality with your peers via Messenger.</w:t>
            </w:r>
          </w:p>
        </w:tc>
        <w:tc>
          <w:tcPr>
            <w:tcW w:w="0" w:type="auto"/>
            <w:hideMark/>
          </w:tcPr>
          <w:p w14:paraId="4A54708F"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4.56</w:t>
            </w:r>
          </w:p>
        </w:tc>
        <w:tc>
          <w:tcPr>
            <w:tcW w:w="0" w:type="auto"/>
            <w:hideMark/>
          </w:tcPr>
          <w:p w14:paraId="246EFE62"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0.755</w:t>
            </w:r>
          </w:p>
        </w:tc>
        <w:tc>
          <w:tcPr>
            <w:tcW w:w="0" w:type="auto"/>
            <w:hideMark/>
          </w:tcPr>
          <w:p w14:paraId="5121C6AC"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Very High</w:t>
            </w:r>
          </w:p>
        </w:tc>
      </w:tr>
      <w:tr w:rsidR="006E16F9" w:rsidRPr="006E16F9" w14:paraId="741008AB" w14:textId="77777777" w:rsidTr="00566943">
        <w:trPr>
          <w:jc w:val="center"/>
        </w:trPr>
        <w:tc>
          <w:tcPr>
            <w:tcW w:w="0" w:type="auto"/>
            <w:tcBorders>
              <w:bottom w:val="single" w:sz="4" w:space="0" w:color="auto"/>
            </w:tcBorders>
            <w:hideMark/>
          </w:tcPr>
          <w:p w14:paraId="13A77464"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10</w:t>
            </w:r>
          </w:p>
        </w:tc>
        <w:tc>
          <w:tcPr>
            <w:tcW w:w="0" w:type="auto"/>
            <w:tcBorders>
              <w:bottom w:val="single" w:sz="4" w:space="0" w:color="auto"/>
            </w:tcBorders>
            <w:hideMark/>
          </w:tcPr>
          <w:p w14:paraId="1A28E916"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You actively participate in creating pages and groups that fall within your field of speciality.</w:t>
            </w:r>
          </w:p>
        </w:tc>
        <w:tc>
          <w:tcPr>
            <w:tcW w:w="0" w:type="auto"/>
            <w:tcBorders>
              <w:bottom w:val="single" w:sz="4" w:space="0" w:color="auto"/>
            </w:tcBorders>
            <w:hideMark/>
          </w:tcPr>
          <w:p w14:paraId="2E82B2C8"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2.11</w:t>
            </w:r>
          </w:p>
        </w:tc>
        <w:tc>
          <w:tcPr>
            <w:tcW w:w="0" w:type="auto"/>
            <w:tcBorders>
              <w:bottom w:val="single" w:sz="4" w:space="0" w:color="auto"/>
            </w:tcBorders>
            <w:hideMark/>
          </w:tcPr>
          <w:p w14:paraId="67116890"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0.829</w:t>
            </w:r>
          </w:p>
        </w:tc>
        <w:tc>
          <w:tcPr>
            <w:tcW w:w="0" w:type="auto"/>
            <w:tcBorders>
              <w:bottom w:val="single" w:sz="4" w:space="0" w:color="auto"/>
            </w:tcBorders>
            <w:hideMark/>
          </w:tcPr>
          <w:p w14:paraId="21E54836"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Low</w:t>
            </w:r>
          </w:p>
        </w:tc>
      </w:tr>
      <w:tr w:rsidR="006E16F9" w:rsidRPr="006E16F9" w14:paraId="66F720CF" w14:textId="77777777" w:rsidTr="00566943">
        <w:trPr>
          <w:jc w:val="center"/>
        </w:trPr>
        <w:tc>
          <w:tcPr>
            <w:tcW w:w="0" w:type="auto"/>
            <w:tcBorders>
              <w:top w:val="single" w:sz="4" w:space="0" w:color="auto"/>
              <w:bottom w:val="single" w:sz="4" w:space="0" w:color="auto"/>
            </w:tcBorders>
            <w:hideMark/>
          </w:tcPr>
          <w:p w14:paraId="26298C26"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Total</w:t>
            </w:r>
          </w:p>
        </w:tc>
        <w:tc>
          <w:tcPr>
            <w:tcW w:w="0" w:type="auto"/>
            <w:tcBorders>
              <w:top w:val="single" w:sz="4" w:space="0" w:color="auto"/>
              <w:bottom w:val="single" w:sz="4" w:space="0" w:color="auto"/>
            </w:tcBorders>
            <w:hideMark/>
          </w:tcPr>
          <w:p w14:paraId="22F24361" w14:textId="77777777" w:rsidR="00D45EAB" w:rsidRPr="006E16F9" w:rsidRDefault="00D45EAB"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w:t>
            </w:r>
          </w:p>
        </w:tc>
        <w:tc>
          <w:tcPr>
            <w:tcW w:w="0" w:type="auto"/>
            <w:tcBorders>
              <w:top w:val="single" w:sz="4" w:space="0" w:color="auto"/>
              <w:bottom w:val="single" w:sz="4" w:space="0" w:color="auto"/>
            </w:tcBorders>
            <w:hideMark/>
          </w:tcPr>
          <w:p w14:paraId="430FB535"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4.04</w:t>
            </w:r>
          </w:p>
        </w:tc>
        <w:tc>
          <w:tcPr>
            <w:tcW w:w="0" w:type="auto"/>
            <w:tcBorders>
              <w:top w:val="single" w:sz="4" w:space="0" w:color="auto"/>
              <w:bottom w:val="single" w:sz="4" w:space="0" w:color="auto"/>
            </w:tcBorders>
            <w:hideMark/>
          </w:tcPr>
          <w:p w14:paraId="4CA78B58"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0.526</w:t>
            </w:r>
          </w:p>
        </w:tc>
        <w:tc>
          <w:tcPr>
            <w:tcW w:w="0" w:type="auto"/>
            <w:tcBorders>
              <w:top w:val="single" w:sz="4" w:space="0" w:color="auto"/>
              <w:bottom w:val="single" w:sz="4" w:space="0" w:color="auto"/>
            </w:tcBorders>
            <w:hideMark/>
          </w:tcPr>
          <w:p w14:paraId="529987AF"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High</w:t>
            </w:r>
          </w:p>
        </w:tc>
      </w:tr>
    </w:tbl>
    <w:p w14:paraId="080DE544" w14:textId="77777777" w:rsidR="002946C2" w:rsidRPr="006E16F9" w:rsidRDefault="002946C2" w:rsidP="002946C2">
      <w:pPr>
        <w:spacing w:line="480" w:lineRule="auto"/>
        <w:rPr>
          <w:rFonts w:eastAsia="Calibri"/>
          <w:sz w:val="22"/>
          <w:szCs w:val="22"/>
          <w:lang w:eastAsia="en-US"/>
        </w:rPr>
      </w:pPr>
      <w:r w:rsidRPr="006E16F9">
        <w:rPr>
          <w:rFonts w:eastAsia="Calibri"/>
          <w:sz w:val="22"/>
          <w:szCs w:val="22"/>
          <w:lang w:eastAsia="en-US"/>
        </w:rPr>
        <w:t>Source: Prepared by the researchers based on the outputs of SPSS version 28.</w:t>
      </w:r>
    </w:p>
    <w:p w14:paraId="2B32EC9A" w14:textId="454B8AE1"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 xml:space="preserve">The results of Table 6 also indicate positive trends among students towards interactive use of Facebook with their professors in learning banking sciences, where the overall arithmetic mean was 3.70 with a standard deviation of 0.543. Almost all paragraphs obtained arithmetic means higher than the hypothetical arithmetic mean of 3, showing that students follow their professors' pages and communicate with them in the field of specialization. Additionally, professors always encourage them to visit the official pages of local and international banks and specialized international financial institutions such as the World Bank and the International Monetary Fund. The only paragraph that did not receive student approval was paragraph 13, where students indicated that their professors do not post updates about guided works, lectures, and exams on Facebook. This paragraph obtained a very low arithmetic mean of 1.51, which can be attributed to the professors' shortcomings in this area and to the </w:t>
      </w:r>
      <w:r w:rsidRPr="006E16F9">
        <w:rPr>
          <w:rFonts w:asciiTheme="majorBidi" w:hAnsiTheme="majorBidi" w:cstheme="majorBidi"/>
          <w:sz w:val="22"/>
          <w:szCs w:val="22"/>
        </w:rPr>
        <w:lastRenderedPageBreak/>
        <w:t>fact that the Algerian Ministry of Higher Education recently organized this point by establishing online learning platforms where professors are required to post everything related to lectures, guided works, exams, model answers, course programs and students' grades.</w:t>
      </w:r>
    </w:p>
    <w:p w14:paraId="5BABAA28" w14:textId="77777777" w:rsidR="00D45EAB" w:rsidRPr="006E16F9" w:rsidRDefault="00D45EAB" w:rsidP="009411C1">
      <w:pPr>
        <w:spacing w:line="480" w:lineRule="auto"/>
        <w:jc w:val="center"/>
        <w:rPr>
          <w:rFonts w:asciiTheme="majorBidi" w:hAnsiTheme="majorBidi" w:cstheme="majorBidi"/>
          <w:b/>
          <w:bCs/>
          <w:sz w:val="22"/>
          <w:szCs w:val="22"/>
        </w:rPr>
      </w:pPr>
      <w:r w:rsidRPr="006E16F9">
        <w:rPr>
          <w:rFonts w:asciiTheme="majorBidi" w:hAnsiTheme="majorBidi" w:cstheme="majorBidi"/>
          <w:b/>
          <w:bCs/>
          <w:sz w:val="22"/>
          <w:szCs w:val="22"/>
        </w:rPr>
        <w:t>Table 6. Descriptive Analysis of Interactive Use of Facebook with Professors by Students</w:t>
      </w:r>
    </w:p>
    <w:tbl>
      <w:tblPr>
        <w:tblStyle w:val="Grilledutableau"/>
        <w:tblW w:w="939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9"/>
        <w:gridCol w:w="4820"/>
        <w:gridCol w:w="850"/>
        <w:gridCol w:w="1246"/>
        <w:gridCol w:w="1349"/>
      </w:tblGrid>
      <w:tr w:rsidR="006E16F9" w:rsidRPr="006E16F9" w14:paraId="625EADA5" w14:textId="77777777" w:rsidTr="002946C2">
        <w:tc>
          <w:tcPr>
            <w:tcW w:w="1129" w:type="dxa"/>
            <w:tcBorders>
              <w:top w:val="single" w:sz="4" w:space="0" w:color="auto"/>
              <w:bottom w:val="single" w:sz="4" w:space="0" w:color="auto"/>
            </w:tcBorders>
            <w:hideMark/>
          </w:tcPr>
          <w:p w14:paraId="63ABB50B" w14:textId="77777777" w:rsidR="00D45EAB" w:rsidRPr="006E16F9" w:rsidRDefault="00D45EAB" w:rsidP="009411C1">
            <w:pPr>
              <w:spacing w:line="480" w:lineRule="auto"/>
              <w:jc w:val="center"/>
              <w:rPr>
                <w:rFonts w:asciiTheme="majorBidi" w:hAnsiTheme="majorBidi" w:cstheme="majorBidi"/>
                <w:sz w:val="22"/>
                <w:szCs w:val="22"/>
              </w:rPr>
            </w:pPr>
          </w:p>
        </w:tc>
        <w:tc>
          <w:tcPr>
            <w:tcW w:w="4820" w:type="dxa"/>
            <w:tcBorders>
              <w:top w:val="single" w:sz="4" w:space="0" w:color="auto"/>
              <w:bottom w:val="single" w:sz="4" w:space="0" w:color="auto"/>
            </w:tcBorders>
            <w:hideMark/>
          </w:tcPr>
          <w:p w14:paraId="4D4D5225" w14:textId="77777777" w:rsidR="00D45EAB" w:rsidRPr="006E16F9" w:rsidRDefault="00D45EAB" w:rsidP="009411C1">
            <w:pPr>
              <w:spacing w:line="480" w:lineRule="auto"/>
              <w:ind w:firstLine="567"/>
              <w:jc w:val="center"/>
              <w:rPr>
                <w:rFonts w:asciiTheme="majorBidi" w:hAnsiTheme="majorBidi" w:cstheme="majorBidi"/>
                <w:sz w:val="22"/>
                <w:szCs w:val="22"/>
              </w:rPr>
            </w:pPr>
            <w:r w:rsidRPr="006E16F9">
              <w:rPr>
                <w:rFonts w:asciiTheme="majorBidi" w:hAnsiTheme="majorBidi" w:cstheme="majorBidi"/>
                <w:sz w:val="22"/>
                <w:szCs w:val="22"/>
              </w:rPr>
              <w:t>Statement</w:t>
            </w:r>
          </w:p>
        </w:tc>
        <w:tc>
          <w:tcPr>
            <w:tcW w:w="850" w:type="dxa"/>
            <w:tcBorders>
              <w:top w:val="single" w:sz="4" w:space="0" w:color="auto"/>
              <w:bottom w:val="single" w:sz="4" w:space="0" w:color="auto"/>
            </w:tcBorders>
            <w:hideMark/>
          </w:tcPr>
          <w:p w14:paraId="2A55258B"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Mean</w:t>
            </w:r>
          </w:p>
        </w:tc>
        <w:tc>
          <w:tcPr>
            <w:tcW w:w="1246" w:type="dxa"/>
            <w:tcBorders>
              <w:top w:val="single" w:sz="4" w:space="0" w:color="auto"/>
              <w:bottom w:val="single" w:sz="4" w:space="0" w:color="auto"/>
            </w:tcBorders>
            <w:hideMark/>
          </w:tcPr>
          <w:p w14:paraId="1F8DFFA5"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Standard Deviation</w:t>
            </w:r>
          </w:p>
        </w:tc>
        <w:tc>
          <w:tcPr>
            <w:tcW w:w="1349" w:type="dxa"/>
            <w:tcBorders>
              <w:top w:val="single" w:sz="4" w:space="0" w:color="auto"/>
              <w:bottom w:val="single" w:sz="4" w:space="0" w:color="auto"/>
            </w:tcBorders>
            <w:hideMark/>
          </w:tcPr>
          <w:p w14:paraId="25950E9F"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Level of Agreement</w:t>
            </w:r>
          </w:p>
        </w:tc>
      </w:tr>
      <w:tr w:rsidR="006E16F9" w:rsidRPr="006E16F9" w14:paraId="3E4914C5" w14:textId="77777777" w:rsidTr="002946C2">
        <w:tc>
          <w:tcPr>
            <w:tcW w:w="1129" w:type="dxa"/>
            <w:tcBorders>
              <w:top w:val="single" w:sz="4" w:space="0" w:color="auto"/>
            </w:tcBorders>
            <w:hideMark/>
          </w:tcPr>
          <w:p w14:paraId="65388282"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11</w:t>
            </w:r>
          </w:p>
        </w:tc>
        <w:tc>
          <w:tcPr>
            <w:tcW w:w="4820" w:type="dxa"/>
            <w:tcBorders>
              <w:top w:val="single" w:sz="4" w:space="0" w:color="auto"/>
            </w:tcBorders>
            <w:hideMark/>
          </w:tcPr>
          <w:p w14:paraId="43F3A0D3"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You continuously follow your professors' pages on Facebook.</w:t>
            </w:r>
          </w:p>
        </w:tc>
        <w:tc>
          <w:tcPr>
            <w:tcW w:w="850" w:type="dxa"/>
            <w:tcBorders>
              <w:top w:val="single" w:sz="4" w:space="0" w:color="auto"/>
            </w:tcBorders>
            <w:hideMark/>
          </w:tcPr>
          <w:p w14:paraId="746D9232"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4.24</w:t>
            </w:r>
          </w:p>
        </w:tc>
        <w:tc>
          <w:tcPr>
            <w:tcW w:w="1246" w:type="dxa"/>
            <w:tcBorders>
              <w:top w:val="single" w:sz="4" w:space="0" w:color="auto"/>
            </w:tcBorders>
            <w:hideMark/>
          </w:tcPr>
          <w:p w14:paraId="2A8E764F"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0.905</w:t>
            </w:r>
          </w:p>
        </w:tc>
        <w:tc>
          <w:tcPr>
            <w:tcW w:w="1349" w:type="dxa"/>
            <w:tcBorders>
              <w:top w:val="single" w:sz="4" w:space="0" w:color="auto"/>
            </w:tcBorders>
            <w:hideMark/>
          </w:tcPr>
          <w:p w14:paraId="365D8F23"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Very High</w:t>
            </w:r>
          </w:p>
        </w:tc>
      </w:tr>
      <w:tr w:rsidR="006E16F9" w:rsidRPr="006E16F9" w14:paraId="6616DC1C" w14:textId="77777777" w:rsidTr="002946C2">
        <w:tc>
          <w:tcPr>
            <w:tcW w:w="1129" w:type="dxa"/>
            <w:hideMark/>
          </w:tcPr>
          <w:p w14:paraId="14AEA85B"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12</w:t>
            </w:r>
          </w:p>
        </w:tc>
        <w:tc>
          <w:tcPr>
            <w:tcW w:w="4820" w:type="dxa"/>
            <w:hideMark/>
          </w:tcPr>
          <w:p w14:paraId="0B7D55EC"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You communicate with your professors through Facebook in the field of banking education.</w:t>
            </w:r>
          </w:p>
        </w:tc>
        <w:tc>
          <w:tcPr>
            <w:tcW w:w="850" w:type="dxa"/>
            <w:hideMark/>
          </w:tcPr>
          <w:p w14:paraId="6255EE50"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4.03</w:t>
            </w:r>
          </w:p>
        </w:tc>
        <w:tc>
          <w:tcPr>
            <w:tcW w:w="1246" w:type="dxa"/>
            <w:hideMark/>
          </w:tcPr>
          <w:p w14:paraId="15A45A04"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1.105</w:t>
            </w:r>
          </w:p>
        </w:tc>
        <w:tc>
          <w:tcPr>
            <w:tcW w:w="1349" w:type="dxa"/>
            <w:hideMark/>
          </w:tcPr>
          <w:p w14:paraId="5D1E14F5"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High</w:t>
            </w:r>
          </w:p>
        </w:tc>
      </w:tr>
      <w:tr w:rsidR="006E16F9" w:rsidRPr="006E16F9" w14:paraId="08122066" w14:textId="77777777" w:rsidTr="002946C2">
        <w:tc>
          <w:tcPr>
            <w:tcW w:w="1129" w:type="dxa"/>
            <w:hideMark/>
          </w:tcPr>
          <w:p w14:paraId="16070799"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13</w:t>
            </w:r>
          </w:p>
        </w:tc>
        <w:tc>
          <w:tcPr>
            <w:tcW w:w="4820" w:type="dxa"/>
            <w:hideMark/>
          </w:tcPr>
          <w:p w14:paraId="26BB41DD"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Your professors publish everything new about directed works, lectures, and exams on their Facebook pages.</w:t>
            </w:r>
          </w:p>
        </w:tc>
        <w:tc>
          <w:tcPr>
            <w:tcW w:w="850" w:type="dxa"/>
            <w:hideMark/>
          </w:tcPr>
          <w:p w14:paraId="78DA877C"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1.51</w:t>
            </w:r>
          </w:p>
        </w:tc>
        <w:tc>
          <w:tcPr>
            <w:tcW w:w="1246" w:type="dxa"/>
            <w:hideMark/>
          </w:tcPr>
          <w:p w14:paraId="728C95D5"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0.684</w:t>
            </w:r>
          </w:p>
        </w:tc>
        <w:tc>
          <w:tcPr>
            <w:tcW w:w="1349" w:type="dxa"/>
            <w:hideMark/>
          </w:tcPr>
          <w:p w14:paraId="165CFAE7"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Very Low</w:t>
            </w:r>
          </w:p>
        </w:tc>
      </w:tr>
      <w:tr w:rsidR="006E16F9" w:rsidRPr="006E16F9" w14:paraId="569586EE" w14:textId="77777777" w:rsidTr="002946C2">
        <w:tc>
          <w:tcPr>
            <w:tcW w:w="1129" w:type="dxa"/>
            <w:hideMark/>
          </w:tcPr>
          <w:p w14:paraId="3A71B089"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14</w:t>
            </w:r>
          </w:p>
        </w:tc>
        <w:tc>
          <w:tcPr>
            <w:tcW w:w="4820" w:type="dxa"/>
            <w:hideMark/>
          </w:tcPr>
          <w:p w14:paraId="368E5C8D"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Your professors publish valuable references in the field of banking sciences on their accounts and pages on Facebook.</w:t>
            </w:r>
          </w:p>
        </w:tc>
        <w:tc>
          <w:tcPr>
            <w:tcW w:w="850" w:type="dxa"/>
            <w:hideMark/>
          </w:tcPr>
          <w:p w14:paraId="0E814C77"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4.20</w:t>
            </w:r>
          </w:p>
        </w:tc>
        <w:tc>
          <w:tcPr>
            <w:tcW w:w="1246" w:type="dxa"/>
            <w:hideMark/>
          </w:tcPr>
          <w:p w14:paraId="115F3066"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1.056</w:t>
            </w:r>
          </w:p>
        </w:tc>
        <w:tc>
          <w:tcPr>
            <w:tcW w:w="1349" w:type="dxa"/>
            <w:hideMark/>
          </w:tcPr>
          <w:p w14:paraId="0BD07141"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High</w:t>
            </w:r>
          </w:p>
        </w:tc>
      </w:tr>
      <w:tr w:rsidR="006E16F9" w:rsidRPr="006E16F9" w14:paraId="28629AB8" w14:textId="77777777" w:rsidTr="002946C2">
        <w:tc>
          <w:tcPr>
            <w:tcW w:w="1129" w:type="dxa"/>
            <w:tcBorders>
              <w:bottom w:val="single" w:sz="4" w:space="0" w:color="auto"/>
            </w:tcBorders>
            <w:hideMark/>
          </w:tcPr>
          <w:p w14:paraId="41663AC4" w14:textId="77777777" w:rsidR="00D45EAB" w:rsidRPr="006E16F9" w:rsidRDefault="00D45EAB" w:rsidP="009411C1">
            <w:pPr>
              <w:spacing w:line="480" w:lineRule="auto"/>
              <w:rPr>
                <w:rFonts w:asciiTheme="majorBidi" w:hAnsiTheme="majorBidi" w:cstheme="majorBidi"/>
                <w:sz w:val="22"/>
                <w:szCs w:val="22"/>
              </w:rPr>
            </w:pPr>
            <w:r w:rsidRPr="006E16F9">
              <w:rPr>
                <w:rFonts w:asciiTheme="majorBidi" w:hAnsiTheme="majorBidi" w:cstheme="majorBidi"/>
                <w:sz w:val="22"/>
                <w:szCs w:val="22"/>
              </w:rPr>
              <w:t>15</w:t>
            </w:r>
          </w:p>
        </w:tc>
        <w:tc>
          <w:tcPr>
            <w:tcW w:w="4820" w:type="dxa"/>
            <w:tcBorders>
              <w:bottom w:val="single" w:sz="4" w:space="0" w:color="auto"/>
            </w:tcBorders>
            <w:hideMark/>
          </w:tcPr>
          <w:p w14:paraId="09E95709"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Your professors encourage you to visit the official pages of local and international banking institutions, such as the Central Bank of Algeria, the World Bank, or the International Monetary Fund.</w:t>
            </w:r>
          </w:p>
        </w:tc>
        <w:tc>
          <w:tcPr>
            <w:tcW w:w="850" w:type="dxa"/>
            <w:tcBorders>
              <w:bottom w:val="single" w:sz="4" w:space="0" w:color="auto"/>
            </w:tcBorders>
            <w:hideMark/>
          </w:tcPr>
          <w:p w14:paraId="57BCA1FA"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4.55</w:t>
            </w:r>
          </w:p>
        </w:tc>
        <w:tc>
          <w:tcPr>
            <w:tcW w:w="1246" w:type="dxa"/>
            <w:tcBorders>
              <w:bottom w:val="single" w:sz="4" w:space="0" w:color="auto"/>
            </w:tcBorders>
            <w:hideMark/>
          </w:tcPr>
          <w:p w14:paraId="7A9EC603"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0.970</w:t>
            </w:r>
          </w:p>
        </w:tc>
        <w:tc>
          <w:tcPr>
            <w:tcW w:w="1349" w:type="dxa"/>
            <w:tcBorders>
              <w:bottom w:val="single" w:sz="4" w:space="0" w:color="auto"/>
            </w:tcBorders>
            <w:hideMark/>
          </w:tcPr>
          <w:p w14:paraId="381F6B42"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Very High</w:t>
            </w:r>
          </w:p>
        </w:tc>
      </w:tr>
      <w:tr w:rsidR="006E16F9" w:rsidRPr="006E16F9" w14:paraId="4B2E2455" w14:textId="77777777" w:rsidTr="002946C2">
        <w:tc>
          <w:tcPr>
            <w:tcW w:w="1129" w:type="dxa"/>
            <w:tcBorders>
              <w:top w:val="single" w:sz="4" w:space="0" w:color="auto"/>
              <w:bottom w:val="single" w:sz="4" w:space="0" w:color="auto"/>
            </w:tcBorders>
            <w:hideMark/>
          </w:tcPr>
          <w:p w14:paraId="69D65337"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Total</w:t>
            </w:r>
          </w:p>
        </w:tc>
        <w:tc>
          <w:tcPr>
            <w:tcW w:w="4820" w:type="dxa"/>
            <w:tcBorders>
              <w:top w:val="single" w:sz="4" w:space="0" w:color="auto"/>
              <w:bottom w:val="single" w:sz="4" w:space="0" w:color="auto"/>
            </w:tcBorders>
            <w:hideMark/>
          </w:tcPr>
          <w:p w14:paraId="5E436508" w14:textId="77777777" w:rsidR="00D45EAB" w:rsidRPr="006E16F9" w:rsidRDefault="00D45EAB"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w:t>
            </w:r>
          </w:p>
        </w:tc>
        <w:tc>
          <w:tcPr>
            <w:tcW w:w="850" w:type="dxa"/>
            <w:tcBorders>
              <w:top w:val="single" w:sz="4" w:space="0" w:color="auto"/>
              <w:bottom w:val="single" w:sz="4" w:space="0" w:color="auto"/>
            </w:tcBorders>
            <w:hideMark/>
          </w:tcPr>
          <w:p w14:paraId="5A87CE01"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3.70</w:t>
            </w:r>
          </w:p>
        </w:tc>
        <w:tc>
          <w:tcPr>
            <w:tcW w:w="1246" w:type="dxa"/>
            <w:tcBorders>
              <w:top w:val="single" w:sz="4" w:space="0" w:color="auto"/>
              <w:bottom w:val="single" w:sz="4" w:space="0" w:color="auto"/>
            </w:tcBorders>
            <w:hideMark/>
          </w:tcPr>
          <w:p w14:paraId="26F6DDFF"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0.543</w:t>
            </w:r>
          </w:p>
        </w:tc>
        <w:tc>
          <w:tcPr>
            <w:tcW w:w="1349" w:type="dxa"/>
            <w:tcBorders>
              <w:top w:val="single" w:sz="4" w:space="0" w:color="auto"/>
              <w:bottom w:val="single" w:sz="4" w:space="0" w:color="auto"/>
            </w:tcBorders>
            <w:hideMark/>
          </w:tcPr>
          <w:p w14:paraId="67AF4D1C"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High</w:t>
            </w:r>
          </w:p>
        </w:tc>
      </w:tr>
    </w:tbl>
    <w:p w14:paraId="1821199A" w14:textId="77777777" w:rsidR="002946C2" w:rsidRPr="006E16F9" w:rsidRDefault="002946C2" w:rsidP="002946C2">
      <w:pPr>
        <w:spacing w:line="480" w:lineRule="auto"/>
        <w:rPr>
          <w:rFonts w:eastAsia="Calibri"/>
          <w:sz w:val="22"/>
          <w:szCs w:val="22"/>
          <w:lang w:eastAsia="en-US"/>
        </w:rPr>
      </w:pPr>
      <w:r w:rsidRPr="006E16F9">
        <w:rPr>
          <w:rFonts w:eastAsia="Calibri"/>
          <w:sz w:val="22"/>
          <w:szCs w:val="22"/>
          <w:lang w:eastAsia="en-US"/>
        </w:rPr>
        <w:t>Source: Prepared by the researchers based on the outputs of SPSS version 28.</w:t>
      </w:r>
    </w:p>
    <w:p w14:paraId="31DF9987"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Considering those mentioned above, it is evident that there are positive trends among students towards various forms of Facebook use in learning banking sciences, whether individual or interactive engagement with colleagues or professors. The general arithmetic mean was 3.94, higher than the hypothetical arithmetic mean of 3, with a known standard deviation of 0.430 and a high level of agreement. Individual use came first in terms of importance, followed by interactive engagement with colleagues, and interactive meeting with professors came last, as illustrated in Table 7.</w:t>
      </w:r>
    </w:p>
    <w:p w14:paraId="6A11A16A" w14:textId="77777777" w:rsidR="00D45EAB" w:rsidRPr="006E16F9" w:rsidRDefault="00D45EAB" w:rsidP="009411C1">
      <w:pPr>
        <w:spacing w:line="480" w:lineRule="auto"/>
        <w:jc w:val="center"/>
        <w:rPr>
          <w:rFonts w:asciiTheme="majorBidi" w:hAnsiTheme="majorBidi" w:cstheme="majorBidi"/>
          <w:b/>
          <w:bCs/>
          <w:sz w:val="22"/>
          <w:szCs w:val="22"/>
        </w:rPr>
      </w:pPr>
      <w:r w:rsidRPr="006E16F9">
        <w:rPr>
          <w:rFonts w:asciiTheme="majorBidi" w:hAnsiTheme="majorBidi" w:cstheme="majorBidi"/>
          <w:b/>
          <w:bCs/>
          <w:sz w:val="22"/>
          <w:szCs w:val="22"/>
        </w:rPr>
        <w:lastRenderedPageBreak/>
        <w:t>Table 7. Descriptive Analysis of Students' Use of Facebook in Learning Banking Sciences</w:t>
      </w:r>
    </w:p>
    <w:tbl>
      <w:tblPr>
        <w:tblStyle w:val="Grilledutableau"/>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3"/>
        <w:gridCol w:w="837"/>
        <w:gridCol w:w="1660"/>
        <w:gridCol w:w="1911"/>
        <w:gridCol w:w="1565"/>
      </w:tblGrid>
      <w:tr w:rsidR="006E16F9" w:rsidRPr="006E16F9" w14:paraId="67D56DDC" w14:textId="77777777" w:rsidTr="002946C2">
        <w:trPr>
          <w:jc w:val="center"/>
        </w:trPr>
        <w:tc>
          <w:tcPr>
            <w:tcW w:w="3053" w:type="dxa"/>
            <w:tcBorders>
              <w:top w:val="single" w:sz="4" w:space="0" w:color="auto"/>
              <w:bottom w:val="single" w:sz="4" w:space="0" w:color="auto"/>
            </w:tcBorders>
            <w:hideMark/>
          </w:tcPr>
          <w:p w14:paraId="416A4363"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Type of Students' Use of Facebook</w:t>
            </w:r>
          </w:p>
        </w:tc>
        <w:tc>
          <w:tcPr>
            <w:tcW w:w="837" w:type="dxa"/>
            <w:tcBorders>
              <w:top w:val="single" w:sz="4" w:space="0" w:color="auto"/>
              <w:bottom w:val="single" w:sz="4" w:space="0" w:color="auto"/>
            </w:tcBorders>
            <w:hideMark/>
          </w:tcPr>
          <w:p w14:paraId="24A80BAD"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Mean</w:t>
            </w:r>
          </w:p>
        </w:tc>
        <w:tc>
          <w:tcPr>
            <w:tcW w:w="1660" w:type="dxa"/>
            <w:tcBorders>
              <w:top w:val="single" w:sz="4" w:space="0" w:color="auto"/>
              <w:bottom w:val="single" w:sz="4" w:space="0" w:color="auto"/>
            </w:tcBorders>
            <w:hideMark/>
          </w:tcPr>
          <w:p w14:paraId="5DD4B61A"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Standard Deviation</w:t>
            </w:r>
          </w:p>
        </w:tc>
        <w:tc>
          <w:tcPr>
            <w:tcW w:w="1911" w:type="dxa"/>
            <w:tcBorders>
              <w:top w:val="single" w:sz="4" w:space="0" w:color="auto"/>
              <w:bottom w:val="single" w:sz="4" w:space="0" w:color="auto"/>
            </w:tcBorders>
            <w:hideMark/>
          </w:tcPr>
          <w:p w14:paraId="445ADD82"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Level of Agreement</w:t>
            </w:r>
          </w:p>
        </w:tc>
        <w:tc>
          <w:tcPr>
            <w:tcW w:w="1565" w:type="dxa"/>
            <w:tcBorders>
              <w:top w:val="single" w:sz="4" w:space="0" w:color="auto"/>
              <w:bottom w:val="single" w:sz="4" w:space="0" w:color="auto"/>
            </w:tcBorders>
            <w:hideMark/>
          </w:tcPr>
          <w:p w14:paraId="6CF0AACD" w14:textId="77777777" w:rsidR="00D45EAB" w:rsidRPr="006E16F9" w:rsidRDefault="00D45EAB"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Importance Ranking</w:t>
            </w:r>
          </w:p>
        </w:tc>
      </w:tr>
      <w:tr w:rsidR="006E16F9" w:rsidRPr="006E16F9" w14:paraId="62CE3529" w14:textId="77777777" w:rsidTr="002946C2">
        <w:trPr>
          <w:jc w:val="center"/>
        </w:trPr>
        <w:tc>
          <w:tcPr>
            <w:tcW w:w="3053" w:type="dxa"/>
            <w:tcBorders>
              <w:top w:val="single" w:sz="4" w:space="0" w:color="auto"/>
            </w:tcBorders>
            <w:hideMark/>
          </w:tcPr>
          <w:p w14:paraId="01E486A3"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Individual Use</w:t>
            </w:r>
          </w:p>
        </w:tc>
        <w:tc>
          <w:tcPr>
            <w:tcW w:w="837" w:type="dxa"/>
            <w:tcBorders>
              <w:top w:val="single" w:sz="4" w:space="0" w:color="auto"/>
            </w:tcBorders>
            <w:hideMark/>
          </w:tcPr>
          <w:p w14:paraId="370DDC67"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4.07</w:t>
            </w:r>
          </w:p>
        </w:tc>
        <w:tc>
          <w:tcPr>
            <w:tcW w:w="1660" w:type="dxa"/>
            <w:tcBorders>
              <w:top w:val="single" w:sz="4" w:space="0" w:color="auto"/>
            </w:tcBorders>
            <w:hideMark/>
          </w:tcPr>
          <w:p w14:paraId="29CD364F" w14:textId="77777777" w:rsidR="00D45EAB" w:rsidRPr="006E16F9" w:rsidRDefault="00D45EAB"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0.522</w:t>
            </w:r>
          </w:p>
        </w:tc>
        <w:tc>
          <w:tcPr>
            <w:tcW w:w="1911" w:type="dxa"/>
            <w:tcBorders>
              <w:top w:val="single" w:sz="4" w:space="0" w:color="auto"/>
            </w:tcBorders>
            <w:hideMark/>
          </w:tcPr>
          <w:p w14:paraId="40A94BD7" w14:textId="77777777" w:rsidR="00D45EAB" w:rsidRPr="006E16F9" w:rsidRDefault="00D45EAB"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High</w:t>
            </w:r>
          </w:p>
        </w:tc>
        <w:tc>
          <w:tcPr>
            <w:tcW w:w="1565" w:type="dxa"/>
            <w:tcBorders>
              <w:top w:val="single" w:sz="4" w:space="0" w:color="auto"/>
            </w:tcBorders>
            <w:hideMark/>
          </w:tcPr>
          <w:p w14:paraId="39CF5A76" w14:textId="77777777" w:rsidR="00D45EAB" w:rsidRPr="006E16F9" w:rsidRDefault="00D45EAB"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1</w:t>
            </w:r>
          </w:p>
        </w:tc>
      </w:tr>
      <w:tr w:rsidR="006E16F9" w:rsidRPr="006E16F9" w14:paraId="09B3487F" w14:textId="77777777" w:rsidTr="002946C2">
        <w:trPr>
          <w:jc w:val="center"/>
        </w:trPr>
        <w:tc>
          <w:tcPr>
            <w:tcW w:w="3053" w:type="dxa"/>
            <w:hideMark/>
          </w:tcPr>
          <w:p w14:paraId="1BDA4D00"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Interactive Use with Peers</w:t>
            </w:r>
          </w:p>
        </w:tc>
        <w:tc>
          <w:tcPr>
            <w:tcW w:w="837" w:type="dxa"/>
            <w:hideMark/>
          </w:tcPr>
          <w:p w14:paraId="20C8AA15"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4.04</w:t>
            </w:r>
          </w:p>
        </w:tc>
        <w:tc>
          <w:tcPr>
            <w:tcW w:w="1660" w:type="dxa"/>
            <w:hideMark/>
          </w:tcPr>
          <w:p w14:paraId="4D319A21" w14:textId="77777777" w:rsidR="00D45EAB" w:rsidRPr="006E16F9" w:rsidRDefault="00D45EAB"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0.526</w:t>
            </w:r>
          </w:p>
        </w:tc>
        <w:tc>
          <w:tcPr>
            <w:tcW w:w="1911" w:type="dxa"/>
            <w:hideMark/>
          </w:tcPr>
          <w:p w14:paraId="02F2CE2A" w14:textId="77777777" w:rsidR="00D45EAB" w:rsidRPr="006E16F9" w:rsidRDefault="00D45EAB"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High</w:t>
            </w:r>
          </w:p>
        </w:tc>
        <w:tc>
          <w:tcPr>
            <w:tcW w:w="1565" w:type="dxa"/>
            <w:hideMark/>
          </w:tcPr>
          <w:p w14:paraId="37DBE37F" w14:textId="77777777" w:rsidR="00D45EAB" w:rsidRPr="006E16F9" w:rsidRDefault="00D45EAB"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2</w:t>
            </w:r>
          </w:p>
        </w:tc>
      </w:tr>
      <w:tr w:rsidR="006E16F9" w:rsidRPr="006E16F9" w14:paraId="5550F2F5" w14:textId="77777777" w:rsidTr="002946C2">
        <w:trPr>
          <w:jc w:val="center"/>
        </w:trPr>
        <w:tc>
          <w:tcPr>
            <w:tcW w:w="3053" w:type="dxa"/>
            <w:tcBorders>
              <w:bottom w:val="single" w:sz="4" w:space="0" w:color="auto"/>
            </w:tcBorders>
            <w:hideMark/>
          </w:tcPr>
          <w:p w14:paraId="3DF0F3F3"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Interactive Use with Professors</w:t>
            </w:r>
          </w:p>
        </w:tc>
        <w:tc>
          <w:tcPr>
            <w:tcW w:w="837" w:type="dxa"/>
            <w:tcBorders>
              <w:bottom w:val="single" w:sz="4" w:space="0" w:color="auto"/>
            </w:tcBorders>
            <w:hideMark/>
          </w:tcPr>
          <w:p w14:paraId="5FCB7383"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3.70</w:t>
            </w:r>
          </w:p>
        </w:tc>
        <w:tc>
          <w:tcPr>
            <w:tcW w:w="1660" w:type="dxa"/>
            <w:tcBorders>
              <w:bottom w:val="single" w:sz="4" w:space="0" w:color="auto"/>
            </w:tcBorders>
            <w:hideMark/>
          </w:tcPr>
          <w:p w14:paraId="1B1B584F" w14:textId="77777777" w:rsidR="00D45EAB" w:rsidRPr="006E16F9" w:rsidRDefault="00D45EAB"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0.543</w:t>
            </w:r>
          </w:p>
        </w:tc>
        <w:tc>
          <w:tcPr>
            <w:tcW w:w="1911" w:type="dxa"/>
            <w:tcBorders>
              <w:bottom w:val="single" w:sz="4" w:space="0" w:color="auto"/>
            </w:tcBorders>
            <w:hideMark/>
          </w:tcPr>
          <w:p w14:paraId="0317A1E0" w14:textId="77777777" w:rsidR="00D45EAB" w:rsidRPr="006E16F9" w:rsidRDefault="00D45EAB"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High</w:t>
            </w:r>
          </w:p>
        </w:tc>
        <w:tc>
          <w:tcPr>
            <w:tcW w:w="1565" w:type="dxa"/>
            <w:tcBorders>
              <w:bottom w:val="single" w:sz="4" w:space="0" w:color="auto"/>
            </w:tcBorders>
            <w:hideMark/>
          </w:tcPr>
          <w:p w14:paraId="3CA9B351" w14:textId="77777777" w:rsidR="00D45EAB" w:rsidRPr="006E16F9" w:rsidRDefault="00D45EAB"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3</w:t>
            </w:r>
          </w:p>
        </w:tc>
      </w:tr>
      <w:tr w:rsidR="006E16F9" w:rsidRPr="006E16F9" w14:paraId="7E708B7B" w14:textId="77777777" w:rsidTr="002946C2">
        <w:trPr>
          <w:jc w:val="center"/>
        </w:trPr>
        <w:tc>
          <w:tcPr>
            <w:tcW w:w="3053" w:type="dxa"/>
            <w:tcBorders>
              <w:top w:val="single" w:sz="4" w:space="0" w:color="auto"/>
              <w:bottom w:val="single" w:sz="4" w:space="0" w:color="auto"/>
            </w:tcBorders>
            <w:hideMark/>
          </w:tcPr>
          <w:p w14:paraId="1D858B41"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Total</w:t>
            </w:r>
          </w:p>
        </w:tc>
        <w:tc>
          <w:tcPr>
            <w:tcW w:w="837" w:type="dxa"/>
            <w:tcBorders>
              <w:top w:val="single" w:sz="4" w:space="0" w:color="auto"/>
              <w:bottom w:val="single" w:sz="4" w:space="0" w:color="auto"/>
            </w:tcBorders>
            <w:hideMark/>
          </w:tcPr>
          <w:p w14:paraId="273C05D2" w14:textId="77777777" w:rsidR="00D45EAB" w:rsidRPr="006E16F9" w:rsidRDefault="00D45EAB"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3.94</w:t>
            </w:r>
          </w:p>
        </w:tc>
        <w:tc>
          <w:tcPr>
            <w:tcW w:w="1660" w:type="dxa"/>
            <w:tcBorders>
              <w:top w:val="single" w:sz="4" w:space="0" w:color="auto"/>
              <w:bottom w:val="single" w:sz="4" w:space="0" w:color="auto"/>
            </w:tcBorders>
            <w:hideMark/>
          </w:tcPr>
          <w:p w14:paraId="44B80E86" w14:textId="77777777" w:rsidR="00D45EAB" w:rsidRPr="006E16F9" w:rsidRDefault="00D45EAB"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0.430</w:t>
            </w:r>
          </w:p>
        </w:tc>
        <w:tc>
          <w:tcPr>
            <w:tcW w:w="1911" w:type="dxa"/>
            <w:tcBorders>
              <w:top w:val="single" w:sz="4" w:space="0" w:color="auto"/>
              <w:bottom w:val="single" w:sz="4" w:space="0" w:color="auto"/>
            </w:tcBorders>
            <w:hideMark/>
          </w:tcPr>
          <w:p w14:paraId="6411FE39" w14:textId="77777777" w:rsidR="00D45EAB" w:rsidRPr="006E16F9" w:rsidRDefault="00D45EAB"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High</w:t>
            </w:r>
          </w:p>
        </w:tc>
        <w:tc>
          <w:tcPr>
            <w:tcW w:w="1565" w:type="dxa"/>
            <w:tcBorders>
              <w:top w:val="single" w:sz="4" w:space="0" w:color="auto"/>
              <w:bottom w:val="single" w:sz="4" w:space="0" w:color="auto"/>
            </w:tcBorders>
            <w:hideMark/>
          </w:tcPr>
          <w:p w14:paraId="2152BEDB" w14:textId="77777777" w:rsidR="00D45EAB" w:rsidRPr="006E16F9" w:rsidRDefault="00D45EAB"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w:t>
            </w:r>
          </w:p>
        </w:tc>
      </w:tr>
    </w:tbl>
    <w:p w14:paraId="48DFEFC1" w14:textId="77777777" w:rsidR="002946C2" w:rsidRPr="006E16F9" w:rsidRDefault="002946C2" w:rsidP="002946C2">
      <w:pPr>
        <w:spacing w:line="480" w:lineRule="auto"/>
        <w:rPr>
          <w:rFonts w:eastAsia="Calibri"/>
          <w:sz w:val="22"/>
          <w:szCs w:val="22"/>
          <w:lang w:eastAsia="en-US"/>
        </w:rPr>
      </w:pPr>
      <w:r w:rsidRPr="006E16F9">
        <w:rPr>
          <w:rFonts w:eastAsia="Calibri"/>
          <w:sz w:val="22"/>
          <w:szCs w:val="22"/>
          <w:lang w:eastAsia="en-US"/>
        </w:rPr>
        <w:t>Source: Prepared by the researchers based on the outputs of SPSS version 28.</w:t>
      </w:r>
    </w:p>
    <w:p w14:paraId="2398F02A" w14:textId="57A5D8E0" w:rsidR="00CA25DC" w:rsidRPr="006E16F9" w:rsidRDefault="002946C2" w:rsidP="002946C2">
      <w:pPr>
        <w:spacing w:line="480" w:lineRule="auto"/>
        <w:rPr>
          <w:rFonts w:asciiTheme="majorBidi" w:hAnsiTheme="majorBidi" w:cstheme="majorBidi"/>
          <w:i/>
          <w:iCs/>
          <w:sz w:val="22"/>
          <w:szCs w:val="22"/>
        </w:rPr>
      </w:pPr>
      <w:r w:rsidRPr="006E16F9">
        <w:rPr>
          <w:rFonts w:asciiTheme="majorBidi" w:hAnsiTheme="majorBidi" w:cstheme="majorBidi"/>
          <w:b/>
          <w:bCs/>
          <w:i/>
          <w:iCs/>
          <w:sz w:val="22"/>
          <w:szCs w:val="22"/>
        </w:rPr>
        <w:t>Testing the Study Hypotheses</w:t>
      </w:r>
    </w:p>
    <w:p w14:paraId="0D2EA27B" w14:textId="77777777" w:rsidR="00401838" w:rsidRPr="006E16F9" w:rsidRDefault="00401838" w:rsidP="009411C1">
      <w:pPr>
        <w:spacing w:line="480" w:lineRule="auto"/>
        <w:ind w:firstLine="567"/>
        <w:jc w:val="both"/>
        <w:rPr>
          <w:rFonts w:asciiTheme="majorBidi" w:hAnsiTheme="majorBidi" w:cstheme="majorBidi"/>
          <w:sz w:val="22"/>
          <w:szCs w:val="22"/>
        </w:rPr>
      </w:pPr>
      <w:r w:rsidRPr="006E16F9">
        <w:rPr>
          <w:rFonts w:asciiTheme="majorBidi" w:hAnsiTheme="majorBidi" w:cstheme="majorBidi"/>
          <w:sz w:val="22"/>
          <w:szCs w:val="22"/>
        </w:rPr>
        <w:t>To verify the validity of the study hypotheses, a one-sample t-test was used, and the results are shown in Table 8.</w:t>
      </w:r>
    </w:p>
    <w:p w14:paraId="511BF1D2" w14:textId="564174E6" w:rsidR="00401838" w:rsidRPr="006E16F9" w:rsidRDefault="00401838" w:rsidP="009411C1">
      <w:pPr>
        <w:spacing w:line="480" w:lineRule="auto"/>
        <w:jc w:val="center"/>
        <w:rPr>
          <w:rFonts w:asciiTheme="majorBidi" w:hAnsiTheme="majorBidi" w:cstheme="majorBidi"/>
          <w:b/>
          <w:bCs/>
          <w:sz w:val="22"/>
          <w:szCs w:val="22"/>
        </w:rPr>
      </w:pPr>
      <w:r w:rsidRPr="006E16F9">
        <w:rPr>
          <w:rFonts w:asciiTheme="majorBidi" w:hAnsiTheme="majorBidi" w:cstheme="majorBidi"/>
          <w:b/>
          <w:bCs/>
          <w:sz w:val="22"/>
          <w:szCs w:val="22"/>
        </w:rPr>
        <w:t>Table 8. Testing the Study Hypotheses</w:t>
      </w:r>
    </w:p>
    <w:tbl>
      <w:tblPr>
        <w:tblStyle w:val="Grilledutablea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9"/>
        <w:gridCol w:w="1299"/>
        <w:gridCol w:w="1271"/>
        <w:gridCol w:w="1291"/>
        <w:gridCol w:w="1284"/>
        <w:gridCol w:w="1316"/>
        <w:gridCol w:w="1266"/>
      </w:tblGrid>
      <w:tr w:rsidR="006E16F9" w:rsidRPr="006E16F9" w14:paraId="798D923F" w14:textId="77777777" w:rsidTr="002946C2">
        <w:tc>
          <w:tcPr>
            <w:tcW w:w="1299" w:type="dxa"/>
            <w:vMerge w:val="restart"/>
            <w:tcBorders>
              <w:top w:val="single" w:sz="4" w:space="0" w:color="auto"/>
              <w:bottom w:val="nil"/>
            </w:tcBorders>
          </w:tcPr>
          <w:p w14:paraId="3818D46A"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Statement</w:t>
            </w:r>
          </w:p>
        </w:tc>
        <w:tc>
          <w:tcPr>
            <w:tcW w:w="3861" w:type="dxa"/>
            <w:gridSpan w:val="3"/>
            <w:tcBorders>
              <w:top w:val="single" w:sz="4" w:space="0" w:color="auto"/>
              <w:bottom w:val="single" w:sz="4" w:space="0" w:color="auto"/>
            </w:tcBorders>
          </w:tcPr>
          <w:p w14:paraId="2B99B928"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Descriptive Analysis of Respondents' Data for the Overall Statements of the Axis</w:t>
            </w:r>
          </w:p>
        </w:tc>
        <w:tc>
          <w:tcPr>
            <w:tcW w:w="3866" w:type="dxa"/>
            <w:gridSpan w:val="3"/>
            <w:tcBorders>
              <w:top w:val="single" w:sz="4" w:space="0" w:color="auto"/>
              <w:bottom w:val="single" w:sz="4" w:space="0" w:color="auto"/>
            </w:tcBorders>
          </w:tcPr>
          <w:p w14:paraId="4360F46B"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Inferential Analysis for Respondents' Data for the Overall Statements of the Axis</w:t>
            </w:r>
          </w:p>
        </w:tc>
      </w:tr>
      <w:tr w:rsidR="006E16F9" w:rsidRPr="006E16F9" w14:paraId="7C79F085" w14:textId="77777777" w:rsidTr="002946C2">
        <w:tc>
          <w:tcPr>
            <w:tcW w:w="1299" w:type="dxa"/>
            <w:vMerge/>
            <w:tcBorders>
              <w:top w:val="nil"/>
              <w:bottom w:val="single" w:sz="4" w:space="0" w:color="auto"/>
            </w:tcBorders>
          </w:tcPr>
          <w:p w14:paraId="473071DF" w14:textId="77777777" w:rsidR="00401838" w:rsidRPr="006E16F9" w:rsidRDefault="00401838" w:rsidP="009411C1">
            <w:pPr>
              <w:spacing w:line="480" w:lineRule="auto"/>
              <w:ind w:firstLine="567"/>
              <w:jc w:val="center"/>
              <w:rPr>
                <w:rFonts w:asciiTheme="majorBidi" w:hAnsiTheme="majorBidi" w:cstheme="majorBidi"/>
                <w:sz w:val="22"/>
                <w:szCs w:val="22"/>
              </w:rPr>
            </w:pPr>
          </w:p>
        </w:tc>
        <w:tc>
          <w:tcPr>
            <w:tcW w:w="1299" w:type="dxa"/>
            <w:tcBorders>
              <w:top w:val="single" w:sz="4" w:space="0" w:color="auto"/>
              <w:bottom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6"/>
              <w:gridCol w:w="66"/>
              <w:gridCol w:w="81"/>
            </w:tblGrid>
            <w:tr w:rsidR="006E16F9" w:rsidRPr="006E16F9" w14:paraId="27879317" w14:textId="77777777" w:rsidTr="00566943">
              <w:trPr>
                <w:tblCellSpacing w:w="15" w:type="dxa"/>
              </w:trPr>
              <w:tc>
                <w:tcPr>
                  <w:tcW w:w="0" w:type="auto"/>
                  <w:vAlign w:val="center"/>
                  <w:hideMark/>
                </w:tcPr>
                <w:p w14:paraId="288D62F0"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Mean</w:t>
                  </w:r>
                </w:p>
              </w:tc>
              <w:tc>
                <w:tcPr>
                  <w:tcW w:w="0" w:type="auto"/>
                  <w:vAlign w:val="center"/>
                  <w:hideMark/>
                </w:tcPr>
                <w:p w14:paraId="53194C61" w14:textId="77777777" w:rsidR="00401838" w:rsidRPr="006E16F9" w:rsidRDefault="00401838" w:rsidP="009411C1">
                  <w:pPr>
                    <w:spacing w:line="480" w:lineRule="auto"/>
                    <w:ind w:firstLine="567"/>
                    <w:jc w:val="center"/>
                    <w:rPr>
                      <w:rFonts w:asciiTheme="majorBidi" w:hAnsiTheme="majorBidi" w:cstheme="majorBidi"/>
                      <w:sz w:val="22"/>
                      <w:szCs w:val="22"/>
                    </w:rPr>
                  </w:pPr>
                </w:p>
              </w:tc>
              <w:tc>
                <w:tcPr>
                  <w:tcW w:w="0" w:type="auto"/>
                  <w:vAlign w:val="center"/>
                  <w:hideMark/>
                </w:tcPr>
                <w:p w14:paraId="0C94121D" w14:textId="77777777" w:rsidR="00401838" w:rsidRPr="006E16F9" w:rsidRDefault="00401838" w:rsidP="009411C1">
                  <w:pPr>
                    <w:spacing w:line="480" w:lineRule="auto"/>
                    <w:ind w:firstLine="567"/>
                    <w:jc w:val="center"/>
                    <w:rPr>
                      <w:rFonts w:asciiTheme="majorBidi" w:hAnsiTheme="majorBidi" w:cstheme="majorBidi"/>
                      <w:sz w:val="22"/>
                      <w:szCs w:val="22"/>
                    </w:rPr>
                  </w:pPr>
                </w:p>
              </w:tc>
            </w:tr>
          </w:tbl>
          <w:p w14:paraId="1722A7CF" w14:textId="77777777" w:rsidR="00401838" w:rsidRPr="006E16F9" w:rsidRDefault="00401838" w:rsidP="009411C1">
            <w:pPr>
              <w:spacing w:line="480" w:lineRule="auto"/>
              <w:ind w:firstLine="567"/>
              <w:jc w:val="center"/>
              <w:rPr>
                <w:rFonts w:asciiTheme="majorBidi" w:hAnsiTheme="majorBidi" w:cstheme="majorBidi"/>
                <w:sz w:val="22"/>
                <w:szCs w:val="22"/>
              </w:rPr>
            </w:pPr>
          </w:p>
        </w:tc>
        <w:tc>
          <w:tcPr>
            <w:tcW w:w="1271" w:type="dxa"/>
            <w:tcBorders>
              <w:top w:val="single" w:sz="4" w:space="0" w:color="auto"/>
              <w:bottom w:val="single" w:sz="4" w:space="0" w:color="auto"/>
            </w:tcBorders>
          </w:tcPr>
          <w:p w14:paraId="278C6A7F"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Std. Deviation</w:t>
            </w:r>
          </w:p>
        </w:tc>
        <w:tc>
          <w:tcPr>
            <w:tcW w:w="1291" w:type="dxa"/>
            <w:tcBorders>
              <w:top w:val="single" w:sz="4" w:space="0" w:color="auto"/>
              <w:bottom w:val="single" w:sz="4" w:space="0" w:color="auto"/>
            </w:tcBorders>
          </w:tcPr>
          <w:p w14:paraId="50DE49C0"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Mean Difference</w:t>
            </w:r>
          </w:p>
        </w:tc>
        <w:tc>
          <w:tcPr>
            <w:tcW w:w="1284" w:type="dxa"/>
            <w:tcBorders>
              <w:top w:val="single" w:sz="4" w:space="0" w:color="auto"/>
              <w:bottom w:val="single" w:sz="4" w:space="0" w:color="auto"/>
            </w:tcBorders>
          </w:tcPr>
          <w:p w14:paraId="7AC02CC1"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T-TEST</w:t>
            </w:r>
          </w:p>
        </w:tc>
        <w:tc>
          <w:tcPr>
            <w:tcW w:w="1316" w:type="dxa"/>
            <w:tcBorders>
              <w:top w:val="single" w:sz="4" w:space="0" w:color="auto"/>
              <w:bottom w:val="single" w:sz="4" w:space="0" w:color="auto"/>
            </w:tcBorders>
          </w:tcPr>
          <w:p w14:paraId="3981D86E"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Sig. Significance</w:t>
            </w:r>
          </w:p>
        </w:tc>
        <w:tc>
          <w:tcPr>
            <w:tcW w:w="1266" w:type="dxa"/>
            <w:tcBorders>
              <w:top w:val="single" w:sz="4" w:space="0" w:color="auto"/>
              <w:bottom w:val="single" w:sz="4" w:space="0" w:color="auto"/>
            </w:tcBorders>
          </w:tcPr>
          <w:p w14:paraId="4558D897"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P-Value</w:t>
            </w:r>
          </w:p>
        </w:tc>
      </w:tr>
      <w:tr w:rsidR="006E16F9" w:rsidRPr="006E16F9" w14:paraId="0A59915F" w14:textId="77777777" w:rsidTr="002946C2">
        <w:tc>
          <w:tcPr>
            <w:tcW w:w="1299" w:type="dxa"/>
            <w:tcBorders>
              <w:top w:val="single" w:sz="4" w:space="0" w:color="auto"/>
            </w:tcBorders>
          </w:tcPr>
          <w:p w14:paraId="6D0D0C15" w14:textId="77777777" w:rsidR="00401838" w:rsidRPr="006E16F9" w:rsidRDefault="00401838"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First Hypothesis</w:t>
            </w:r>
          </w:p>
        </w:tc>
        <w:tc>
          <w:tcPr>
            <w:tcW w:w="1299" w:type="dxa"/>
            <w:tcBorders>
              <w:top w:val="single" w:sz="4" w:space="0" w:color="auto"/>
            </w:tcBorders>
          </w:tcPr>
          <w:p w14:paraId="289585E1"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4.07</w:t>
            </w:r>
          </w:p>
        </w:tc>
        <w:tc>
          <w:tcPr>
            <w:tcW w:w="1271" w:type="dxa"/>
            <w:tcBorders>
              <w:top w:val="single" w:sz="4" w:space="0" w:color="auto"/>
            </w:tcBorders>
          </w:tcPr>
          <w:p w14:paraId="0B3DD325"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5.22</w:t>
            </w:r>
          </w:p>
        </w:tc>
        <w:tc>
          <w:tcPr>
            <w:tcW w:w="1291" w:type="dxa"/>
            <w:tcBorders>
              <w:top w:val="single" w:sz="4" w:space="0" w:color="auto"/>
            </w:tcBorders>
          </w:tcPr>
          <w:p w14:paraId="5DD9F414"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1.07</w:t>
            </w:r>
          </w:p>
        </w:tc>
        <w:tc>
          <w:tcPr>
            <w:tcW w:w="1284" w:type="dxa"/>
            <w:tcBorders>
              <w:top w:val="single" w:sz="4" w:space="0" w:color="auto"/>
            </w:tcBorders>
          </w:tcPr>
          <w:p w14:paraId="0D75819B"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23.582</w:t>
            </w:r>
          </w:p>
        </w:tc>
        <w:tc>
          <w:tcPr>
            <w:tcW w:w="1316" w:type="dxa"/>
            <w:tcBorders>
              <w:top w:val="single" w:sz="4" w:space="0" w:color="auto"/>
            </w:tcBorders>
          </w:tcPr>
          <w:p w14:paraId="6FF9BEB8"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0.000</w:t>
            </w:r>
          </w:p>
        </w:tc>
        <w:tc>
          <w:tcPr>
            <w:tcW w:w="1266" w:type="dxa"/>
            <w:tcBorders>
              <w:top w:val="single" w:sz="4" w:space="0" w:color="auto"/>
            </w:tcBorders>
          </w:tcPr>
          <w:p w14:paraId="5B168783" w14:textId="77777777" w:rsidR="00401838" w:rsidRPr="006E16F9" w:rsidRDefault="00401838" w:rsidP="009411C1">
            <w:pPr>
              <w:spacing w:line="480" w:lineRule="auto"/>
              <w:rPr>
                <w:rFonts w:asciiTheme="majorBidi" w:hAnsiTheme="majorBidi" w:cstheme="majorBidi"/>
                <w:sz w:val="22"/>
                <w:szCs w:val="22"/>
              </w:rPr>
            </w:pPr>
            <w:r w:rsidRPr="006E16F9">
              <w:rPr>
                <w:rFonts w:asciiTheme="majorBidi" w:hAnsiTheme="majorBidi" w:cstheme="majorBidi"/>
                <w:sz w:val="22"/>
                <w:szCs w:val="22"/>
              </w:rPr>
              <w:t>Statistically Significant</w:t>
            </w:r>
          </w:p>
        </w:tc>
      </w:tr>
      <w:tr w:rsidR="006E16F9" w:rsidRPr="006E16F9" w14:paraId="6CFE2E16" w14:textId="77777777" w:rsidTr="002946C2">
        <w:tc>
          <w:tcPr>
            <w:tcW w:w="1299" w:type="dxa"/>
          </w:tcPr>
          <w:p w14:paraId="292AA8C1" w14:textId="77777777" w:rsidR="00401838" w:rsidRPr="006E16F9" w:rsidRDefault="00401838"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Second Hypothesis</w:t>
            </w:r>
          </w:p>
        </w:tc>
        <w:tc>
          <w:tcPr>
            <w:tcW w:w="1299" w:type="dxa"/>
          </w:tcPr>
          <w:p w14:paraId="6498B347"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4.04</w:t>
            </w:r>
          </w:p>
        </w:tc>
        <w:tc>
          <w:tcPr>
            <w:tcW w:w="1271" w:type="dxa"/>
          </w:tcPr>
          <w:p w14:paraId="5122895A"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0.526</w:t>
            </w:r>
          </w:p>
        </w:tc>
        <w:tc>
          <w:tcPr>
            <w:tcW w:w="1291" w:type="dxa"/>
          </w:tcPr>
          <w:p w14:paraId="34FC2460"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1.04</w:t>
            </w:r>
          </w:p>
        </w:tc>
        <w:tc>
          <w:tcPr>
            <w:tcW w:w="1284" w:type="dxa"/>
          </w:tcPr>
          <w:p w14:paraId="480C592E"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22.758</w:t>
            </w:r>
          </w:p>
        </w:tc>
        <w:tc>
          <w:tcPr>
            <w:tcW w:w="1316" w:type="dxa"/>
          </w:tcPr>
          <w:p w14:paraId="1CC61F8A"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0.000</w:t>
            </w:r>
          </w:p>
        </w:tc>
        <w:tc>
          <w:tcPr>
            <w:tcW w:w="1266" w:type="dxa"/>
          </w:tcPr>
          <w:p w14:paraId="77B4C533" w14:textId="77777777" w:rsidR="00401838" w:rsidRPr="006E16F9" w:rsidRDefault="00401838" w:rsidP="009411C1">
            <w:pPr>
              <w:spacing w:line="480" w:lineRule="auto"/>
              <w:rPr>
                <w:rFonts w:asciiTheme="majorBidi" w:hAnsiTheme="majorBidi" w:cstheme="majorBidi"/>
                <w:sz w:val="22"/>
                <w:szCs w:val="22"/>
              </w:rPr>
            </w:pPr>
            <w:r w:rsidRPr="006E16F9">
              <w:rPr>
                <w:rFonts w:asciiTheme="majorBidi" w:hAnsiTheme="majorBidi" w:cstheme="majorBidi"/>
                <w:sz w:val="22"/>
                <w:szCs w:val="22"/>
              </w:rPr>
              <w:t>Statistically Significant</w:t>
            </w:r>
          </w:p>
        </w:tc>
      </w:tr>
      <w:tr w:rsidR="006E16F9" w:rsidRPr="006E16F9" w14:paraId="23CA77A3" w14:textId="77777777" w:rsidTr="002946C2">
        <w:tc>
          <w:tcPr>
            <w:tcW w:w="1299" w:type="dxa"/>
          </w:tcPr>
          <w:p w14:paraId="6E3AE5DE" w14:textId="77777777" w:rsidR="00401838" w:rsidRPr="006E16F9" w:rsidRDefault="00401838"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Third Hypothesis</w:t>
            </w:r>
          </w:p>
        </w:tc>
        <w:tc>
          <w:tcPr>
            <w:tcW w:w="1299" w:type="dxa"/>
          </w:tcPr>
          <w:p w14:paraId="64917ACB"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3.70</w:t>
            </w:r>
          </w:p>
        </w:tc>
        <w:tc>
          <w:tcPr>
            <w:tcW w:w="1271" w:type="dxa"/>
          </w:tcPr>
          <w:p w14:paraId="3C20B568"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0.543</w:t>
            </w:r>
          </w:p>
        </w:tc>
        <w:tc>
          <w:tcPr>
            <w:tcW w:w="1291" w:type="dxa"/>
          </w:tcPr>
          <w:p w14:paraId="4DDC33B1"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0.70</w:t>
            </w:r>
          </w:p>
        </w:tc>
        <w:tc>
          <w:tcPr>
            <w:tcW w:w="1284" w:type="dxa"/>
          </w:tcPr>
          <w:p w14:paraId="13B7F022" w14:textId="77777777" w:rsidR="00401838" w:rsidRPr="006E16F9" w:rsidRDefault="00401838" w:rsidP="009411C1">
            <w:pPr>
              <w:spacing w:line="480" w:lineRule="auto"/>
              <w:jc w:val="center"/>
              <w:rPr>
                <w:rFonts w:asciiTheme="majorBidi" w:hAnsiTheme="majorBidi" w:cstheme="majorBidi"/>
                <w:sz w:val="22"/>
                <w:szCs w:val="22"/>
              </w:rPr>
            </w:pPr>
            <w:r w:rsidRPr="006E16F9">
              <w:rPr>
                <w:rFonts w:asciiTheme="majorBidi" w:hAnsiTheme="majorBidi" w:cstheme="majorBidi"/>
                <w:sz w:val="22"/>
                <w:szCs w:val="22"/>
              </w:rPr>
              <w:t>14.842</w:t>
            </w:r>
          </w:p>
        </w:tc>
        <w:tc>
          <w:tcPr>
            <w:tcW w:w="1316" w:type="dxa"/>
          </w:tcPr>
          <w:p w14:paraId="1284123C" w14:textId="77777777" w:rsidR="00401838" w:rsidRPr="006E16F9" w:rsidRDefault="00401838" w:rsidP="009411C1">
            <w:pPr>
              <w:spacing w:line="480" w:lineRule="auto"/>
              <w:jc w:val="center"/>
              <w:rPr>
                <w:rFonts w:asciiTheme="majorBidi" w:hAnsiTheme="majorBidi" w:cstheme="majorBidi"/>
                <w:sz w:val="22"/>
                <w:szCs w:val="22"/>
                <w:rtl/>
                <w:lang w:bidi="ar-DZ"/>
              </w:rPr>
            </w:pPr>
            <w:r w:rsidRPr="006E16F9">
              <w:rPr>
                <w:rFonts w:asciiTheme="majorBidi" w:hAnsiTheme="majorBidi" w:cstheme="majorBidi"/>
                <w:sz w:val="22"/>
                <w:szCs w:val="22"/>
              </w:rPr>
              <w:t>0.000</w:t>
            </w:r>
          </w:p>
        </w:tc>
        <w:tc>
          <w:tcPr>
            <w:tcW w:w="1266" w:type="dxa"/>
          </w:tcPr>
          <w:p w14:paraId="6FBC3F04" w14:textId="77777777" w:rsidR="00401838" w:rsidRPr="006E16F9" w:rsidRDefault="00401838" w:rsidP="009411C1">
            <w:pPr>
              <w:spacing w:line="480" w:lineRule="auto"/>
              <w:rPr>
                <w:rFonts w:asciiTheme="majorBidi" w:hAnsiTheme="majorBidi" w:cstheme="majorBidi"/>
                <w:sz w:val="22"/>
                <w:szCs w:val="22"/>
              </w:rPr>
            </w:pPr>
            <w:r w:rsidRPr="006E16F9">
              <w:rPr>
                <w:rFonts w:asciiTheme="majorBidi" w:hAnsiTheme="majorBidi" w:cstheme="majorBidi"/>
                <w:sz w:val="22"/>
                <w:szCs w:val="22"/>
              </w:rPr>
              <w:t>Statistically Significant</w:t>
            </w:r>
          </w:p>
        </w:tc>
      </w:tr>
    </w:tbl>
    <w:p w14:paraId="111EDC81" w14:textId="77777777" w:rsidR="002946C2" w:rsidRPr="006E16F9" w:rsidRDefault="002946C2" w:rsidP="002946C2">
      <w:pPr>
        <w:spacing w:line="480" w:lineRule="auto"/>
        <w:rPr>
          <w:rFonts w:eastAsia="Calibri"/>
          <w:sz w:val="22"/>
          <w:szCs w:val="22"/>
          <w:lang w:eastAsia="en-US"/>
        </w:rPr>
      </w:pPr>
      <w:r w:rsidRPr="006E16F9">
        <w:rPr>
          <w:rFonts w:eastAsia="Calibri"/>
          <w:sz w:val="22"/>
          <w:szCs w:val="22"/>
          <w:lang w:eastAsia="en-US"/>
        </w:rPr>
        <w:t>Source: Prepared by the researchers based on the outputs of SPSS version 28.</w:t>
      </w:r>
    </w:p>
    <w:p w14:paraId="295C735F" w14:textId="1ADE83E8" w:rsidR="00401838" w:rsidRPr="006E16F9" w:rsidRDefault="00401838"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 xml:space="preserve">From the table mentioned earlier, it is evident that the calculated T-TEST value for the first hypothesis stands at (23.582), with a corresponding probability value (sig) of 0.000, which is less than the significance level of 0.05. This result indicates that the difference between the mean score of the </w:t>
      </w:r>
      <w:r w:rsidRPr="006E16F9">
        <w:rPr>
          <w:rFonts w:asciiTheme="majorBidi" w:hAnsiTheme="majorBidi" w:cstheme="majorBidi"/>
          <w:sz w:val="22"/>
          <w:szCs w:val="22"/>
        </w:rPr>
        <w:lastRenderedPageBreak/>
        <w:t>respondents (4.07) and the hypothetical mean score (3) is statistically significant, with a positive difference value of 1.07. This positive discrepancy underscores that the attitudes of the sample individuals are predominantly positive, thereby substantiating their strong agreement with the proposition outlined in the first dimension of the questionnaire.</w:t>
      </w:r>
    </w:p>
    <w:p w14:paraId="5AC2BE1B" w14:textId="77777777" w:rsidR="00401838" w:rsidRPr="006E16F9" w:rsidRDefault="00401838"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Given that the sample results are statistically significant at the 0.05 level, it is viable to extrapolate these findings to the larger study population. This not only buttresses the conclusion drawn but also validates the veracity of the first hypothesis, which posited, "There is a high level of students' utilisation of Facebook in assimilating banking sciences at a 5% significance level."</w:t>
      </w:r>
    </w:p>
    <w:p w14:paraId="735B6531" w14:textId="2649B9F3" w:rsidR="00CA25DC" w:rsidRPr="006E16F9" w:rsidRDefault="00401838" w:rsidP="009411C1">
      <w:pPr>
        <w:spacing w:line="480" w:lineRule="auto"/>
        <w:jc w:val="both"/>
        <w:rPr>
          <w:rFonts w:asciiTheme="majorBidi" w:hAnsiTheme="majorBidi" w:cstheme="majorBidi"/>
          <w:sz w:val="22"/>
          <w:szCs w:val="22"/>
        </w:rPr>
      </w:pPr>
      <w:r w:rsidRPr="006E16F9">
        <w:rPr>
          <w:rFonts w:asciiTheme="majorBidi" w:hAnsiTheme="majorBidi" w:cstheme="majorBidi"/>
          <w:sz w:val="22"/>
          <w:szCs w:val="22"/>
        </w:rPr>
        <w:t>Likewise, the validity of the second and third hypotheses is incontrovertibly corroborated by the results delineated in Table 8. These results unequivocally demonstrate a prevalent inclination among the students towards engaging interactively with their peers and professors via Facebook as a medium for learning banking sciences.</w:t>
      </w:r>
    </w:p>
    <w:p w14:paraId="04129940" w14:textId="107DF041" w:rsidR="00CA25DC" w:rsidRPr="006E16F9" w:rsidRDefault="00401838" w:rsidP="009411C1">
      <w:pPr>
        <w:spacing w:line="480" w:lineRule="auto"/>
        <w:rPr>
          <w:rFonts w:asciiTheme="majorBidi" w:hAnsiTheme="majorBidi" w:cstheme="majorBidi"/>
          <w:sz w:val="22"/>
          <w:szCs w:val="22"/>
        </w:rPr>
      </w:pPr>
      <w:r w:rsidRPr="006E16F9">
        <w:rPr>
          <w:rFonts w:asciiTheme="majorBidi" w:hAnsiTheme="majorBidi" w:cstheme="majorBidi"/>
          <w:b/>
          <w:bCs/>
          <w:sz w:val="22"/>
          <w:szCs w:val="22"/>
        </w:rPr>
        <w:t>Conclusion</w:t>
      </w:r>
    </w:p>
    <w:p w14:paraId="2EFDFE24" w14:textId="0D5018CE" w:rsidR="00401838" w:rsidRPr="006E16F9" w:rsidRDefault="00401838" w:rsidP="009411C1">
      <w:pPr>
        <w:tabs>
          <w:tab w:val="left" w:pos="426"/>
        </w:tabs>
        <w:spacing w:line="480" w:lineRule="auto"/>
        <w:jc w:val="both"/>
        <w:rPr>
          <w:rFonts w:asciiTheme="majorBidi" w:hAnsiTheme="majorBidi" w:cstheme="majorBidi"/>
          <w:sz w:val="22"/>
          <w:szCs w:val="22"/>
        </w:rPr>
      </w:pPr>
      <w:r w:rsidRPr="006E16F9">
        <w:rPr>
          <w:rFonts w:asciiTheme="majorBidi" w:hAnsiTheme="majorBidi" w:cstheme="majorBidi"/>
          <w:sz w:val="22"/>
          <w:szCs w:val="22"/>
        </w:rPr>
        <w:t>This study sought to investigate the extent and nature of Facebook utilization among students of Banking Sciences at the Badji Mokhtar – Annaba University  as a tool for academic learning, particularly within the context of the evolving educational landscape in Algeria post-COVID-19. Anchored in a descriptive methodological framework and supported by empirical data obtained through a structured questionnaire, the research examined three core dimensions of Facebook usage: individual use, interactive use with peers, and interactive use with professors. The findings unequivocally reveal a high level of engagement with Facebook as a supplementary learning tool among the student population. Specifically, the results demonstrated that students predominantly employ Facebook for individual academic purposes, such as expanding their knowledge base in banking sciences, understanding new banking concepts, and accessing learning resources including books and research papers. This individual usage dimension registered the highest overall mean, indicating that Facebook serves as a crucial personal resource in their academic endeavors.</w:t>
      </w:r>
    </w:p>
    <w:p w14:paraId="610B69A4" w14:textId="15E33C64" w:rsidR="00401838" w:rsidRPr="006E16F9" w:rsidRDefault="00401838" w:rsidP="009411C1">
      <w:pPr>
        <w:tabs>
          <w:tab w:val="left" w:pos="426"/>
        </w:tabs>
        <w:spacing w:line="480" w:lineRule="auto"/>
        <w:jc w:val="both"/>
        <w:rPr>
          <w:rFonts w:asciiTheme="majorBidi" w:hAnsiTheme="majorBidi" w:cstheme="majorBidi"/>
          <w:sz w:val="22"/>
          <w:szCs w:val="22"/>
        </w:rPr>
      </w:pPr>
      <w:r w:rsidRPr="006E16F9">
        <w:rPr>
          <w:rFonts w:asciiTheme="majorBidi" w:hAnsiTheme="majorBidi" w:cstheme="majorBidi"/>
          <w:sz w:val="22"/>
          <w:szCs w:val="22"/>
        </w:rPr>
        <w:t xml:space="preserve">Similarly, the interactive use of Facebook with peers was also found to be significant. Students actively collaborate with classmates via the Messenger application to exchange academic files, share knowledge, and prepare group research projects. Although students exhibited less interest in creating or managing </w:t>
      </w:r>
      <w:r w:rsidRPr="006E16F9">
        <w:rPr>
          <w:rFonts w:asciiTheme="majorBidi" w:hAnsiTheme="majorBidi" w:cstheme="majorBidi"/>
          <w:sz w:val="22"/>
          <w:szCs w:val="22"/>
        </w:rPr>
        <w:lastRenderedPageBreak/>
        <w:t>academic groups or pages, peer-to-peer engagement remains robust, suggesting that Facebook facilitates effective academic networking and knowledge exchange among students. With regard to interaction with professors, the results indicated a comparatively moderate, yet still statistically significant, level of engagement. While students actively follow professors’ pages and are encouraged to consult authoritative financial institution pages, there exists a noticeable gap in the direct dissemination of academic content by professors through Facebook. This shortfall may be attributed to the recent institutional shift towards centralized educational platforms mandated by the Algerian Ministry of Higher Education. All three hypotheses posited in the study were statistically validated at the 5% significance level, confirming that Facebook is not only widely used by students for educational purposes but is also valued as a platform for academic interaction and collaboration in the field of banking sciences.</w:t>
      </w:r>
    </w:p>
    <w:p w14:paraId="79432FFC" w14:textId="0F06C95E" w:rsidR="009411C1" w:rsidRPr="006E16F9" w:rsidRDefault="009411C1" w:rsidP="009411C1">
      <w:pPr>
        <w:spacing w:line="480" w:lineRule="auto"/>
        <w:jc w:val="both"/>
        <w:rPr>
          <w:rFonts w:asciiTheme="majorBidi" w:hAnsiTheme="majorBidi" w:cstheme="majorBidi"/>
          <w:b/>
          <w:bCs/>
          <w:sz w:val="22"/>
          <w:szCs w:val="22"/>
          <w:lang w:eastAsia="en-US"/>
        </w:rPr>
      </w:pPr>
      <w:r w:rsidRPr="006E16F9">
        <w:rPr>
          <w:rFonts w:asciiTheme="majorBidi" w:hAnsiTheme="majorBidi" w:cstheme="majorBidi"/>
          <w:b/>
          <w:bCs/>
          <w:sz w:val="22"/>
          <w:szCs w:val="22"/>
          <w:lang w:eastAsia="en-US"/>
        </w:rPr>
        <w:t>Recommendations</w:t>
      </w:r>
    </w:p>
    <w:p w14:paraId="2194E177" w14:textId="77777777" w:rsidR="009411C1" w:rsidRPr="006E16F9" w:rsidRDefault="009411C1" w:rsidP="009411C1">
      <w:pPr>
        <w:spacing w:line="480" w:lineRule="auto"/>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Based on the findings, the researchers propose the following recommendations to enhance the utilisation of the Facebook social media platform for educational purposes:</w:t>
      </w:r>
    </w:p>
    <w:p w14:paraId="679A6313" w14:textId="0A018E91" w:rsidR="009411C1" w:rsidRPr="006E16F9" w:rsidRDefault="00C96C25" w:rsidP="00C96C25">
      <w:p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 xml:space="preserve">1. </w:t>
      </w:r>
      <w:r w:rsidR="009411C1" w:rsidRPr="006E16F9">
        <w:rPr>
          <w:rFonts w:asciiTheme="majorBidi" w:hAnsiTheme="majorBidi" w:cstheme="majorBidi"/>
          <w:sz w:val="22"/>
          <w:szCs w:val="22"/>
          <w:lang w:eastAsia="en-US"/>
        </w:rPr>
        <w:t>Active involvement by universities to foster optimal Facebook usage by students through:</w:t>
      </w:r>
    </w:p>
    <w:p w14:paraId="28D7CFBB" w14:textId="77777777" w:rsidR="009411C1" w:rsidRPr="006E16F9" w:rsidRDefault="009411C1" w:rsidP="009411C1">
      <w:pPr>
        <w:numPr>
          <w:ilvl w:val="0"/>
          <w:numId w:val="5"/>
        </w:num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Establishing official university pages on Facebook to post lectures, scientific research, curricula, and o</w:t>
      </w:r>
    </w:p>
    <w:p w14:paraId="7A490E20" w14:textId="77777777" w:rsidR="009411C1" w:rsidRPr="006E16F9" w:rsidRDefault="009411C1" w:rsidP="009411C1">
      <w:pPr>
        <w:numPr>
          <w:ilvl w:val="0"/>
          <w:numId w:val="5"/>
        </w:num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ther pertinent academic materials.</w:t>
      </w:r>
    </w:p>
    <w:p w14:paraId="5FAFCF9E" w14:textId="77777777" w:rsidR="009411C1" w:rsidRPr="006E16F9" w:rsidRDefault="009411C1" w:rsidP="009411C1">
      <w:pPr>
        <w:numPr>
          <w:ilvl w:val="0"/>
          <w:numId w:val="5"/>
        </w:num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Providing necessary facilities, incentives, and technologies to support the academic use of Facebook by students.</w:t>
      </w:r>
    </w:p>
    <w:p w14:paraId="76BCD31C" w14:textId="77777777" w:rsidR="009411C1" w:rsidRPr="006E16F9" w:rsidRDefault="009411C1" w:rsidP="009411C1">
      <w:pPr>
        <w:numPr>
          <w:ilvl w:val="0"/>
          <w:numId w:val="5"/>
        </w:num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Guiding students to verify the accuracy of any education-related content before sharing.</w:t>
      </w:r>
    </w:p>
    <w:p w14:paraId="44FBDCE5" w14:textId="77777777" w:rsidR="009411C1" w:rsidRPr="006E16F9" w:rsidRDefault="009411C1" w:rsidP="009411C1">
      <w:pPr>
        <w:numPr>
          <w:ilvl w:val="0"/>
          <w:numId w:val="5"/>
        </w:num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Supporting student-led social media groups that aim to enhance academic performance.</w:t>
      </w:r>
    </w:p>
    <w:p w14:paraId="0D56239F" w14:textId="77777777" w:rsidR="009411C1" w:rsidRPr="006E16F9" w:rsidRDefault="009411C1" w:rsidP="009411C1">
      <w:pPr>
        <w:numPr>
          <w:ilvl w:val="0"/>
          <w:numId w:val="5"/>
        </w:num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Organising conferences and training sessions to educate students on the effective use of Facebook in education.</w:t>
      </w:r>
    </w:p>
    <w:p w14:paraId="3CA149DA" w14:textId="77777777" w:rsidR="009411C1" w:rsidRPr="006E16F9" w:rsidRDefault="009411C1" w:rsidP="009411C1">
      <w:pPr>
        <w:numPr>
          <w:ilvl w:val="0"/>
          <w:numId w:val="5"/>
        </w:num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Encouraging faculty members to utilise social media for academic communication with students.</w:t>
      </w:r>
    </w:p>
    <w:p w14:paraId="129B07CA" w14:textId="7C6275F6" w:rsidR="009411C1" w:rsidRPr="006E16F9" w:rsidRDefault="00C96C25" w:rsidP="00C96C25">
      <w:p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 xml:space="preserve">2. </w:t>
      </w:r>
      <w:r w:rsidR="009411C1" w:rsidRPr="006E16F9">
        <w:rPr>
          <w:rFonts w:asciiTheme="majorBidi" w:hAnsiTheme="majorBidi" w:cstheme="majorBidi"/>
          <w:sz w:val="22"/>
          <w:szCs w:val="22"/>
          <w:lang w:eastAsia="en-US"/>
        </w:rPr>
        <w:t>The role of governments and the Ministry of Higher Education in promoting the optimal use of Facebook for educational purposes by:</w:t>
      </w:r>
    </w:p>
    <w:p w14:paraId="608690D2" w14:textId="77777777" w:rsidR="009411C1" w:rsidRPr="006E16F9" w:rsidRDefault="009411C1" w:rsidP="009411C1">
      <w:pPr>
        <w:numPr>
          <w:ilvl w:val="0"/>
          <w:numId w:val="6"/>
        </w:num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lastRenderedPageBreak/>
        <w:t>Enacting laws to protect university privacy on social media and prevent account hacking.</w:t>
      </w:r>
    </w:p>
    <w:p w14:paraId="256EAA39" w14:textId="77777777" w:rsidR="009411C1" w:rsidRPr="006E16F9" w:rsidRDefault="009411C1" w:rsidP="009411C1">
      <w:pPr>
        <w:numPr>
          <w:ilvl w:val="0"/>
          <w:numId w:val="6"/>
        </w:num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Investing in improving the country's information and communication technology infrastructure.</w:t>
      </w:r>
    </w:p>
    <w:p w14:paraId="21850FB2" w14:textId="77777777" w:rsidR="009411C1" w:rsidRPr="006E16F9" w:rsidRDefault="009411C1" w:rsidP="009411C1">
      <w:pPr>
        <w:numPr>
          <w:ilvl w:val="0"/>
          <w:numId w:val="6"/>
        </w:num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Implement regulations to monitor social media usage and ban sites or pages that promote negative behaviour among university students.</w:t>
      </w:r>
    </w:p>
    <w:p w14:paraId="08B7E1FB" w14:textId="77777777" w:rsidR="009411C1" w:rsidRPr="006E16F9" w:rsidRDefault="009411C1" w:rsidP="009411C1">
      <w:pPr>
        <w:numPr>
          <w:ilvl w:val="0"/>
          <w:numId w:val="6"/>
        </w:num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Conducting and promoting research on the efficacy of social media in education at local and international levels.</w:t>
      </w:r>
    </w:p>
    <w:p w14:paraId="11650426" w14:textId="2CBAC49B" w:rsidR="009411C1" w:rsidRPr="006E16F9" w:rsidRDefault="00C96C25" w:rsidP="00C96C25">
      <w:p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 xml:space="preserve">3. </w:t>
      </w:r>
      <w:r w:rsidR="009411C1" w:rsidRPr="006E16F9">
        <w:rPr>
          <w:rFonts w:asciiTheme="majorBidi" w:hAnsiTheme="majorBidi" w:cstheme="majorBidi"/>
          <w:sz w:val="22"/>
          <w:szCs w:val="22"/>
          <w:lang w:eastAsia="en-US"/>
        </w:rPr>
        <w:t>The need for further studies in the following areas:</w:t>
      </w:r>
    </w:p>
    <w:p w14:paraId="6B5CCE7D" w14:textId="77777777" w:rsidR="009411C1" w:rsidRPr="006E16F9" w:rsidRDefault="009411C1" w:rsidP="009411C1">
      <w:pPr>
        <w:numPr>
          <w:ilvl w:val="0"/>
          <w:numId w:val="7"/>
        </w:num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Investigating the challenges educational stakeholders face in utilising social networks for learning.</w:t>
      </w:r>
    </w:p>
    <w:p w14:paraId="626A8373" w14:textId="77777777" w:rsidR="009411C1" w:rsidRPr="006E16F9" w:rsidRDefault="009411C1" w:rsidP="009411C1">
      <w:pPr>
        <w:numPr>
          <w:ilvl w:val="0"/>
          <w:numId w:val="7"/>
        </w:numPr>
        <w:spacing w:after="200" w:line="480" w:lineRule="auto"/>
        <w:contextualSpacing/>
        <w:jc w:val="both"/>
        <w:rPr>
          <w:rFonts w:asciiTheme="majorBidi" w:hAnsiTheme="majorBidi" w:cstheme="majorBidi"/>
          <w:sz w:val="22"/>
          <w:szCs w:val="22"/>
          <w:lang w:eastAsia="en-US"/>
        </w:rPr>
      </w:pPr>
      <w:r w:rsidRPr="006E16F9">
        <w:rPr>
          <w:rFonts w:asciiTheme="majorBidi" w:hAnsiTheme="majorBidi" w:cstheme="majorBidi"/>
          <w:sz w:val="22"/>
          <w:szCs w:val="22"/>
          <w:lang w:eastAsia="en-US"/>
        </w:rPr>
        <w:t>Assessing the effectiveness of social networks in enhancing the educational process.</w:t>
      </w:r>
    </w:p>
    <w:p w14:paraId="70CB7D3A" w14:textId="77777777" w:rsidR="00C55679" w:rsidRPr="006E16F9" w:rsidRDefault="00C55679" w:rsidP="009411C1">
      <w:pPr>
        <w:spacing w:line="480" w:lineRule="auto"/>
        <w:rPr>
          <w:rFonts w:asciiTheme="majorBidi" w:hAnsiTheme="majorBidi" w:cstheme="majorBidi"/>
          <w:sz w:val="22"/>
          <w:szCs w:val="22"/>
          <w:lang w:val="fr-FR"/>
        </w:rPr>
      </w:pPr>
      <w:r w:rsidRPr="006E16F9">
        <w:rPr>
          <w:rFonts w:asciiTheme="majorBidi" w:hAnsiTheme="majorBidi" w:cstheme="majorBidi"/>
          <w:b/>
          <w:bCs/>
          <w:sz w:val="22"/>
          <w:szCs w:val="22"/>
          <w:lang w:val="fr-FR"/>
        </w:rPr>
        <w:t>References</w:t>
      </w:r>
    </w:p>
    <w:p w14:paraId="10800443" w14:textId="77777777" w:rsidR="009411C1" w:rsidRPr="006E16F9" w:rsidRDefault="009411C1" w:rsidP="009411C1">
      <w:pPr>
        <w:spacing w:line="480" w:lineRule="auto"/>
        <w:ind w:left="720" w:hanging="720"/>
        <w:jc w:val="both"/>
        <w:rPr>
          <w:rFonts w:asciiTheme="majorBidi" w:hAnsiTheme="majorBidi" w:cstheme="majorBidi"/>
          <w:sz w:val="22"/>
          <w:szCs w:val="22"/>
          <w:lang w:val="fr-FR"/>
        </w:rPr>
      </w:pPr>
      <w:r w:rsidRPr="006E16F9">
        <w:rPr>
          <w:rFonts w:asciiTheme="majorBidi" w:hAnsiTheme="majorBidi" w:cstheme="majorBidi"/>
          <w:sz w:val="22"/>
          <w:szCs w:val="22"/>
          <w:lang w:val="fr-FR"/>
        </w:rPr>
        <w:t xml:space="preserve">Acquisti, A., &amp; Fong, C. (2020). </w:t>
      </w:r>
      <w:r w:rsidRPr="006E16F9">
        <w:rPr>
          <w:rFonts w:asciiTheme="majorBidi" w:hAnsiTheme="majorBidi" w:cstheme="majorBidi"/>
          <w:sz w:val="22"/>
          <w:szCs w:val="22"/>
        </w:rPr>
        <w:t xml:space="preserve">An experiment in hiring discrimination via online social networks. </w:t>
      </w:r>
      <w:r w:rsidRPr="006E16F9">
        <w:rPr>
          <w:rFonts w:asciiTheme="majorBidi" w:hAnsiTheme="majorBidi" w:cstheme="majorBidi"/>
          <w:sz w:val="22"/>
          <w:szCs w:val="22"/>
          <w:lang w:val="fr-FR"/>
        </w:rPr>
        <w:t>Management Science, 66(3), 1005–1024. https://doi.org/10.1287/mnsc.2018.3269</w:t>
      </w:r>
    </w:p>
    <w:p w14:paraId="1A302D66"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val="fr-FR"/>
        </w:rPr>
        <w:t xml:space="preserve">Aichner, T., Grünfelder, M., Maurer, O., &amp; Jegeni, D. (2021). </w:t>
      </w:r>
      <w:r w:rsidRPr="006E16F9">
        <w:rPr>
          <w:rFonts w:asciiTheme="majorBidi" w:hAnsiTheme="majorBidi" w:cstheme="majorBidi"/>
          <w:sz w:val="22"/>
          <w:szCs w:val="22"/>
        </w:rPr>
        <w:t>Twenty-five years of social media: A review of social media applications and definitions from 1994 to 2019. Cyberpsychology, Behavior, and Social Networking, 24(4), 215–222. https://doi.org/10.1089/cyber.2020.0134</w:t>
      </w:r>
    </w:p>
    <w:p w14:paraId="454A583A"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Alizadeh, H., Sharifi, A., Damanbagh, S., Nazarnia, H., &amp; Nazarnia, M. (2023). Impacts of the COVID-19 pandemic on the social sphere and lessons for crisis management: A literature review. Natural Hazards, 117(3), 2139–2164. https://doi.org/10.1007/s11069-023-05959-2</w:t>
      </w:r>
    </w:p>
    <w:p w14:paraId="50278F6C"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Alves de Castro, C., OReilly, I., &amp; Carthy, A. (2022). Social media influencers (SMIs) in context: A literature review. https://doi.org/10.6084/M9.FIGSHARE.19673517.V1</w:t>
      </w:r>
    </w:p>
    <w:p w14:paraId="18B600B9"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val="fr-FR" w:eastAsia="fr-FR"/>
        </w:rPr>
        <w:t xml:space="preserve">Arquero, J. L., &amp; Romero-Frias, E. (2011). </w:t>
      </w:r>
      <w:r w:rsidRPr="006E16F9">
        <w:rPr>
          <w:rFonts w:asciiTheme="majorBidi" w:hAnsiTheme="majorBidi" w:cstheme="majorBidi"/>
          <w:sz w:val="22"/>
          <w:szCs w:val="22"/>
          <w:lang w:eastAsia="fr-FR"/>
        </w:rPr>
        <w:t xml:space="preserve">Using social network sites in higher education: An experience in business studies. </w:t>
      </w:r>
      <w:r w:rsidRPr="006E16F9">
        <w:rPr>
          <w:rFonts w:asciiTheme="majorBidi" w:hAnsiTheme="majorBidi" w:cstheme="majorBidi"/>
          <w:i/>
          <w:iCs/>
          <w:sz w:val="22"/>
          <w:szCs w:val="22"/>
          <w:lang w:eastAsia="fr-FR"/>
        </w:rPr>
        <w:t>Congreso International de Innovacion Docente, Universidad de Cartagena</w:t>
      </w:r>
      <w:r w:rsidRPr="006E16F9">
        <w:rPr>
          <w:rFonts w:asciiTheme="majorBidi" w:hAnsiTheme="majorBidi" w:cstheme="majorBidi"/>
          <w:sz w:val="22"/>
          <w:szCs w:val="22"/>
          <w:lang w:eastAsia="fr-FR"/>
        </w:rPr>
        <w:t>, Colombia.</w:t>
      </w:r>
    </w:p>
    <w:p w14:paraId="19466E8F"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Badji Mokhtar University. (2025). The UBMA in brief. https://www.univ-annaba.dz/en/lubma-en-bref/</w:t>
      </w:r>
    </w:p>
    <w:p w14:paraId="3E0C2403"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 xml:space="preserve">Bashir, A., Bashir, S., Rana, K., Lambert, P., &amp; Vernallis, A. (2021). Post-COVID-19 adaptations: The shifts towards online learning, hybrid course delivery and the implications for biosciences </w:t>
      </w:r>
      <w:r w:rsidRPr="006E16F9">
        <w:rPr>
          <w:rFonts w:asciiTheme="majorBidi" w:hAnsiTheme="majorBidi" w:cstheme="majorBidi"/>
          <w:sz w:val="22"/>
          <w:szCs w:val="22"/>
        </w:rPr>
        <w:lastRenderedPageBreak/>
        <w:t>courses in the higher education setting. Frontiers in Education, 6, Article 711619. https://doi.org/10.3389/feduc.2021.711619</w:t>
      </w:r>
    </w:p>
    <w:p w14:paraId="72CE6C8A"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Bayer, J. B., Triệu, P., &amp; Ellison, N. B. (2020). Social media elements, ecologies, and effects. Annual Review of Psychology, 71(1), 471–497. https://doi.org/10.1146/annurev-psych-010419-050944</w:t>
      </w:r>
    </w:p>
    <w:p w14:paraId="7426E816"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eastAsia="fr-FR"/>
        </w:rPr>
        <w:t xml:space="preserve">Bharucha, J. (2018). Exploring education-related use of social media: Business students’ perspective in changing India. </w:t>
      </w:r>
      <w:r w:rsidRPr="006E16F9">
        <w:rPr>
          <w:rFonts w:asciiTheme="majorBidi" w:hAnsiTheme="majorBidi" w:cstheme="majorBidi"/>
          <w:i/>
          <w:iCs/>
          <w:sz w:val="22"/>
          <w:szCs w:val="22"/>
          <w:lang w:eastAsia="fr-FR"/>
        </w:rPr>
        <w:t>Education + Training, 60</w:t>
      </w:r>
      <w:r w:rsidRPr="006E16F9">
        <w:rPr>
          <w:rFonts w:asciiTheme="majorBidi" w:hAnsiTheme="majorBidi" w:cstheme="majorBidi"/>
          <w:sz w:val="22"/>
          <w:szCs w:val="22"/>
          <w:lang w:eastAsia="fr-FR"/>
        </w:rPr>
        <w:t xml:space="preserve">(2), 198–212. </w:t>
      </w:r>
      <w:hyperlink r:id="rId5" w:history="1">
        <w:r w:rsidRPr="006E16F9">
          <w:rPr>
            <w:rFonts w:asciiTheme="majorBidi" w:hAnsiTheme="majorBidi" w:cstheme="majorBidi"/>
            <w:sz w:val="22"/>
            <w:szCs w:val="22"/>
            <w:u w:val="single"/>
            <w:lang w:eastAsia="fr-FR"/>
          </w:rPr>
          <w:t>https://doi.org/10.1108/ET-07-2017-0105</w:t>
        </w:r>
      </w:hyperlink>
    </w:p>
    <w:p w14:paraId="13A27ADF"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Boulianne, S., &amp; Theocharis, Y. (2020). Young people, digital media, and engagement: A meta-analysis of research. Social Science Computer Review, 38(2), 111–127. https://doi.org/10.1177/0894439318814190</w:t>
      </w:r>
    </w:p>
    <w:p w14:paraId="5B507F9F"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eastAsia="fr-FR"/>
        </w:rPr>
        <w:t xml:space="preserve">Chukwudi, N. J., &amp; Constance, G. M. C. (2015). Social media and academic performance of business education students in South-East Nigeria. </w:t>
      </w:r>
      <w:r w:rsidRPr="006E16F9">
        <w:rPr>
          <w:rFonts w:asciiTheme="majorBidi" w:hAnsiTheme="majorBidi" w:cstheme="majorBidi"/>
          <w:i/>
          <w:iCs/>
          <w:sz w:val="22"/>
          <w:szCs w:val="22"/>
          <w:lang w:eastAsia="fr-FR"/>
        </w:rPr>
        <w:t>Journal of Education and Practice, 6</w:t>
      </w:r>
      <w:r w:rsidRPr="006E16F9">
        <w:rPr>
          <w:rFonts w:asciiTheme="majorBidi" w:hAnsiTheme="majorBidi" w:cstheme="majorBidi"/>
          <w:sz w:val="22"/>
          <w:szCs w:val="22"/>
          <w:lang w:eastAsia="fr-FR"/>
        </w:rPr>
        <w:t>(25), 127–134.</w:t>
      </w:r>
    </w:p>
    <w:p w14:paraId="3A3CE2F5"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Dixon, S. J. (2025). Number of global social network users 2019–2029. Statista. https://www.statista.com/statistics/278414/number-of-worldwide-social-network-users/</w:t>
      </w:r>
    </w:p>
    <w:p w14:paraId="4CDBB5EF"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eastAsia="fr-FR"/>
        </w:rPr>
        <w:t xml:space="preserve">Djafri, L., &amp; Kaouli, N. (2018). Introducing social media to help students develop their vocabulary in foreign language classroom. </w:t>
      </w:r>
      <w:r w:rsidRPr="006E16F9">
        <w:rPr>
          <w:rFonts w:asciiTheme="majorBidi" w:hAnsiTheme="majorBidi" w:cstheme="majorBidi"/>
          <w:i/>
          <w:iCs/>
          <w:sz w:val="22"/>
          <w:szCs w:val="22"/>
          <w:lang w:eastAsia="fr-FR"/>
        </w:rPr>
        <w:t>Review of Letters and Human Sciences, 11</w:t>
      </w:r>
      <w:r w:rsidRPr="006E16F9">
        <w:rPr>
          <w:rFonts w:asciiTheme="majorBidi" w:hAnsiTheme="majorBidi" w:cstheme="majorBidi"/>
          <w:sz w:val="22"/>
          <w:szCs w:val="22"/>
          <w:lang w:eastAsia="fr-FR"/>
        </w:rPr>
        <w:t>(1), 137–149.</w:t>
      </w:r>
    </w:p>
    <w:p w14:paraId="23DF5F01"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Fazil, A. W., Hakimi, M., Akrami, K., Akrami, M., &amp; Akrami, F. (2024). Exploring the role of social media in bridging gaps and facilitating global communication. Social Media Journal of Communication, 2(1), 13–21. https://doi.org/10.32996/smjc.2024.2.1.2</w:t>
      </w:r>
    </w:p>
    <w:p w14:paraId="4B4C6049"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eastAsia="fr-FR"/>
        </w:rPr>
        <w:t xml:space="preserve">Fitri, E. S. T. A. (2017). We are different but alike: A comparative analysis between students’ and teachers’ use of Facebook. </w:t>
      </w:r>
      <w:r w:rsidRPr="006E16F9">
        <w:rPr>
          <w:rFonts w:asciiTheme="majorBidi" w:hAnsiTheme="majorBidi" w:cstheme="majorBidi"/>
          <w:i/>
          <w:iCs/>
          <w:sz w:val="22"/>
          <w:szCs w:val="22"/>
          <w:lang w:eastAsia="fr-FR"/>
        </w:rPr>
        <w:t>Journal of Physics: Conference Series, 801</w:t>
      </w:r>
      <w:r w:rsidRPr="006E16F9">
        <w:rPr>
          <w:rFonts w:asciiTheme="majorBidi" w:hAnsiTheme="majorBidi" w:cstheme="majorBidi"/>
          <w:sz w:val="22"/>
          <w:szCs w:val="22"/>
          <w:lang w:eastAsia="fr-FR"/>
        </w:rPr>
        <w:t xml:space="preserve">(1), 1–7. </w:t>
      </w:r>
      <w:hyperlink r:id="rId6" w:history="1">
        <w:r w:rsidRPr="006E16F9">
          <w:rPr>
            <w:rFonts w:asciiTheme="majorBidi" w:hAnsiTheme="majorBidi" w:cstheme="majorBidi"/>
            <w:sz w:val="22"/>
            <w:szCs w:val="22"/>
            <w:u w:val="single"/>
            <w:lang w:eastAsia="fr-FR"/>
          </w:rPr>
          <w:t>https://doi.org/10.1088/1742-6596/801/1/012091</w:t>
        </w:r>
      </w:hyperlink>
    </w:p>
    <w:p w14:paraId="4C16AFD4"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Hoffmann, A. L., Proferes, N., &amp; Zimmer, M. (2018). 'Making the world more open and connected': Mark Zuckerberg and the discursive construction of Facebook and its users. New Media &amp; Society, 20(1), 199–218. https://doi.org/10.1177/1461444816660784</w:t>
      </w:r>
    </w:p>
    <w:p w14:paraId="1D6433A8"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Itō, M. (2019). Affinity online: How connection and shared interest fuel learning. New York University Press.</w:t>
      </w:r>
    </w:p>
    <w:p w14:paraId="281E6D21"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lastRenderedPageBreak/>
        <w:t>Kapoor, K. K., Tamilmani, K., Rana, N. P., Patil, P., Dwivedi, Y. K., &amp; Nerur, S. (2018). Advances in social media research: Past, present and future. Information Systems Frontiers, 20(3), 531–558. https://doi.org/10.1007/s10796-017-9810-y</w:t>
      </w:r>
    </w:p>
    <w:p w14:paraId="324D4E33"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eastAsia="fr-FR"/>
        </w:rPr>
        <w:t xml:space="preserve">Karbinski, A. (2010). </w:t>
      </w:r>
      <w:r w:rsidRPr="006E16F9">
        <w:rPr>
          <w:rFonts w:asciiTheme="majorBidi" w:hAnsiTheme="majorBidi" w:cstheme="majorBidi"/>
          <w:i/>
          <w:iCs/>
          <w:sz w:val="22"/>
          <w:szCs w:val="22"/>
          <w:lang w:eastAsia="fr-FR"/>
        </w:rPr>
        <w:t>Facebook and the technology revolution</w:t>
      </w:r>
      <w:r w:rsidRPr="006E16F9">
        <w:rPr>
          <w:rFonts w:asciiTheme="majorBidi" w:hAnsiTheme="majorBidi" w:cstheme="majorBidi"/>
          <w:sz w:val="22"/>
          <w:szCs w:val="22"/>
          <w:lang w:eastAsia="fr-FR"/>
        </w:rPr>
        <w:t>. Specturum Publications.</w:t>
      </w:r>
    </w:p>
    <w:p w14:paraId="5ABDD1BE"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eastAsia="fr-FR"/>
        </w:rPr>
        <w:t xml:space="preserve">Kemmouche, R. (2021). Information literacy, social and academic achievement at higher education. </w:t>
      </w:r>
      <w:r w:rsidRPr="006E16F9">
        <w:rPr>
          <w:rFonts w:asciiTheme="majorBidi" w:hAnsiTheme="majorBidi" w:cstheme="majorBidi"/>
          <w:i/>
          <w:iCs/>
          <w:sz w:val="22"/>
          <w:szCs w:val="22"/>
          <w:lang w:eastAsia="fr-FR"/>
        </w:rPr>
        <w:t>Human Sociales Review, 32</w:t>
      </w:r>
      <w:r w:rsidRPr="006E16F9">
        <w:rPr>
          <w:rFonts w:asciiTheme="majorBidi" w:hAnsiTheme="majorBidi" w:cstheme="majorBidi"/>
          <w:sz w:val="22"/>
          <w:szCs w:val="22"/>
          <w:lang w:eastAsia="fr-FR"/>
        </w:rPr>
        <w:t>(4), 645–661.</w:t>
      </w:r>
    </w:p>
    <w:p w14:paraId="3F245059"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Kemp, S. (2023). Digital 2023 deep-dive: Is social media really dying? Datareportal. https://datareportal.com/reports/digital-2023-deep-dive-the-worlds-top-social-media-platforms</w:t>
      </w:r>
    </w:p>
    <w:p w14:paraId="6F2B3681"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Klonick, K. (2020). The Facebook oversight board: Creating an independent institution to adjudicate online free expression. The Yale Law Journal.</w:t>
      </w:r>
    </w:p>
    <w:p w14:paraId="67D6DA56"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Kontostavlou, E.-Z., &amp; Drigas, A. S. (2019). The use of information and communications technology (ICT) in gifted students. International Journal of Recent Contributions from Engineering, Science &amp; IT, 7(2), 60. https://doi.org/10.3991/ijes.v7i2.10815</w:t>
      </w:r>
    </w:p>
    <w:p w14:paraId="38830F9A"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Kwangmuang, P., Jarutkamolpong, S., Sangboonraung, W., &amp; Daungtod, S. (2021). The development of learning innovation to enhance higher order thinking skills for students in Thailand junior high schools. Heliyon, 7(6), Article e07309. https://doi.org/10.1016/j.heliyon.2021.e07309</w:t>
      </w:r>
    </w:p>
    <w:p w14:paraId="16FA522D"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Nilasari, B. M., Jasfar, F., &amp; Sri Wahyudi, A. (2019). The effect of interactivity, cost effectiveness, and compatibility on the use of social media and its implications for organizational performance. American Research Journal of Business and Management, 5(1). https://doi.org/10.21694/2379-1047.19003</w:t>
      </w:r>
    </w:p>
    <w:p w14:paraId="1C2F49EA"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Niu, L. (2019). Using Facebook for academic purposes: Current literature and directions for future research. Journal of Educational Computing Research, 56(8), 1384–1406. https://doi.org/10.1177/0735633117745161</w:t>
      </w:r>
    </w:p>
    <w:p w14:paraId="5D334702"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eastAsia="fr-FR"/>
        </w:rPr>
        <w:t xml:space="preserve">Ophus, J. D., &amp; Abbitt, J. T. (2009). Exploring the potential perceptions of social networking systems in university courses. </w:t>
      </w:r>
      <w:r w:rsidRPr="006E16F9">
        <w:rPr>
          <w:rFonts w:asciiTheme="majorBidi" w:hAnsiTheme="majorBidi" w:cstheme="majorBidi"/>
          <w:i/>
          <w:iCs/>
          <w:sz w:val="22"/>
          <w:szCs w:val="22"/>
          <w:lang w:eastAsia="fr-FR"/>
        </w:rPr>
        <w:t>MERLOT Journal of Online Learning and Teaching, 5</w:t>
      </w:r>
      <w:r w:rsidRPr="006E16F9">
        <w:rPr>
          <w:rFonts w:asciiTheme="majorBidi" w:hAnsiTheme="majorBidi" w:cstheme="majorBidi"/>
          <w:sz w:val="22"/>
          <w:szCs w:val="22"/>
          <w:lang w:eastAsia="fr-FR"/>
        </w:rPr>
        <w:t>(4), 639–648.</w:t>
      </w:r>
    </w:p>
    <w:p w14:paraId="13380FFD"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val="fr-FR"/>
        </w:rPr>
        <w:lastRenderedPageBreak/>
        <w:t xml:space="preserve">Purcell, W. M., &amp; Lumbreras, J. (2021). </w:t>
      </w:r>
      <w:r w:rsidRPr="006E16F9">
        <w:rPr>
          <w:rFonts w:asciiTheme="majorBidi" w:hAnsiTheme="majorBidi" w:cstheme="majorBidi"/>
          <w:sz w:val="22"/>
          <w:szCs w:val="22"/>
        </w:rPr>
        <w:t>Higher education and the COVID-19 pandemic: Navigating disruption using the sustainable development goals. Discover Sustainability, 2(1), Article 6. https://doi.org/10.1007/s43621-021-00013-2</w:t>
      </w:r>
    </w:p>
    <w:p w14:paraId="68CA24D7"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eastAsia="fr-FR"/>
        </w:rPr>
        <w:t xml:space="preserve">Reavis, M. K. (2021). Banking class engagement and the special nature of banks. </w:t>
      </w:r>
      <w:r w:rsidRPr="006E16F9">
        <w:rPr>
          <w:rFonts w:asciiTheme="majorBidi" w:hAnsiTheme="majorBidi" w:cstheme="majorBidi"/>
          <w:i/>
          <w:iCs/>
          <w:sz w:val="22"/>
          <w:szCs w:val="22"/>
          <w:lang w:eastAsia="fr-FR"/>
        </w:rPr>
        <w:t>Journal of Instructional Pedagogies, 25</w:t>
      </w:r>
      <w:r w:rsidRPr="006E16F9">
        <w:rPr>
          <w:rFonts w:asciiTheme="majorBidi" w:hAnsiTheme="majorBidi" w:cstheme="majorBidi"/>
          <w:sz w:val="22"/>
          <w:szCs w:val="22"/>
          <w:lang w:eastAsia="fr-FR"/>
        </w:rPr>
        <w:t>(1), 1–8.</w:t>
      </w:r>
    </w:p>
    <w:p w14:paraId="2DF43455"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eastAsia="fr-FR"/>
        </w:rPr>
        <w:t xml:space="preserve">Rouis, S., Limayem, M., &amp; Salehi-Sangari, E. (2011). Impact of Facebook usage on students’ academic achievement: Roles of self-regulation and trust. </w:t>
      </w:r>
      <w:r w:rsidRPr="006E16F9">
        <w:rPr>
          <w:rFonts w:asciiTheme="majorBidi" w:hAnsiTheme="majorBidi" w:cstheme="majorBidi"/>
          <w:i/>
          <w:iCs/>
          <w:sz w:val="22"/>
          <w:szCs w:val="22"/>
          <w:lang w:eastAsia="fr-FR"/>
        </w:rPr>
        <w:t>Electronic Journal of Research in Educational Psychology, 9</w:t>
      </w:r>
      <w:r w:rsidRPr="006E16F9">
        <w:rPr>
          <w:rFonts w:asciiTheme="majorBidi" w:hAnsiTheme="majorBidi" w:cstheme="majorBidi"/>
          <w:sz w:val="22"/>
          <w:szCs w:val="22"/>
          <w:lang w:eastAsia="fr-FR"/>
        </w:rPr>
        <w:t>(3), 961–994.</w:t>
      </w:r>
    </w:p>
    <w:p w14:paraId="0C886DC2"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Schultze, U., &amp; Brooks, J. A. M. (2019). An interactional view of social presence: Making the virtual other 'real.' Information Systems Journal, 29(3), 707–737. https://doi.org/10.1111/isj.12230</w:t>
      </w:r>
    </w:p>
    <w:p w14:paraId="68E76CE3"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Sobaih, A. E. E., Hasanein, A. M., &amp; Abu Elnasr, A. E. (2020). Responses to COVID-19 in higher education: Social media usage for sustaining formal academic communication in developing countries. Sustainability, 12(16), Article 6520. https://doi.org/10.3390/su12166520</w:t>
      </w:r>
    </w:p>
    <w:p w14:paraId="11493043"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Tandoc, E. C., Lou, C., &amp; Min, V. L. H. (2019). Platform-swinging in a poly-social-media context: How and why users navigate multiple social media platforms. Journal of Computer-Mediated Communication, 24(1), 21–35. https://doi.org/10.1093/jcmc/zmy022</w:t>
      </w:r>
    </w:p>
    <w:p w14:paraId="3FCD2E1E"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Temel Eginli, A., &amp; Ozmelek Tas, N. (2018). Interpersonal communication in social networking sites: An investigation in the framework of uses and gratification theory. Online Journal of Communication and Media Technologies, 8(2). https://doi.org/10.12973/ojcmt/2355</w:t>
      </w:r>
    </w:p>
    <w:p w14:paraId="3D6EFC15"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eastAsia="fr-FR"/>
        </w:rPr>
        <w:t xml:space="preserve">Thuseethan, S., &amp; Kuhanesan, S. (2014). Influence of Facebook in academic performance of Sri Lankan university students. </w:t>
      </w:r>
      <w:r w:rsidRPr="006E16F9">
        <w:rPr>
          <w:rFonts w:asciiTheme="majorBidi" w:hAnsiTheme="majorBidi" w:cstheme="majorBidi"/>
          <w:i/>
          <w:iCs/>
          <w:sz w:val="22"/>
          <w:szCs w:val="22"/>
          <w:lang w:eastAsia="fr-FR"/>
        </w:rPr>
        <w:t>Global Journal of Computer Science and Technology, 14</w:t>
      </w:r>
      <w:r w:rsidRPr="006E16F9">
        <w:rPr>
          <w:rFonts w:asciiTheme="majorBidi" w:hAnsiTheme="majorBidi" w:cstheme="majorBidi"/>
          <w:sz w:val="22"/>
          <w:szCs w:val="22"/>
          <w:lang w:eastAsia="fr-FR"/>
        </w:rPr>
        <w:t>(4), 29–35.</w:t>
      </w:r>
    </w:p>
    <w:p w14:paraId="65C97A88"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rPr>
        <w:t xml:space="preserve">Vlachopoulos, D., &amp; Makri, A. (2019). Online communication and interaction in distance higher education: A framework study of good practice. International Review of Education, 65(4), 605–632. </w:t>
      </w:r>
      <w:hyperlink r:id="rId7" w:history="1">
        <w:r w:rsidRPr="006E16F9">
          <w:rPr>
            <w:rStyle w:val="Lienhypertexte"/>
            <w:rFonts w:asciiTheme="majorBidi" w:hAnsiTheme="majorBidi" w:cstheme="majorBidi"/>
            <w:color w:val="auto"/>
            <w:sz w:val="22"/>
            <w:szCs w:val="22"/>
          </w:rPr>
          <w:t>https://doi.org/10.1007/s11159-019-09792-3</w:t>
        </w:r>
      </w:hyperlink>
    </w:p>
    <w:p w14:paraId="7D6EA97D"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eastAsia="fr-FR"/>
        </w:rPr>
        <w:t xml:space="preserve">Wanjohi, R. N., Mweli, R. B., &amp; Nyang’ara, N. M. (2015). Self-regulation of Facebook usage and academic performance of students in Kenyan universities. </w:t>
      </w:r>
      <w:r w:rsidRPr="006E16F9">
        <w:rPr>
          <w:rFonts w:asciiTheme="majorBidi" w:hAnsiTheme="majorBidi" w:cstheme="majorBidi"/>
          <w:i/>
          <w:iCs/>
          <w:sz w:val="22"/>
          <w:szCs w:val="22"/>
          <w:lang w:eastAsia="fr-FR"/>
        </w:rPr>
        <w:t>Journal of Education and Practice, 6</w:t>
      </w:r>
      <w:r w:rsidRPr="006E16F9">
        <w:rPr>
          <w:rFonts w:asciiTheme="majorBidi" w:hAnsiTheme="majorBidi" w:cstheme="majorBidi"/>
          <w:sz w:val="22"/>
          <w:szCs w:val="22"/>
          <w:lang w:eastAsia="fr-FR"/>
        </w:rPr>
        <w:t>(14), 109–113.</w:t>
      </w:r>
    </w:p>
    <w:p w14:paraId="19692ACE" w14:textId="77777777" w:rsidR="009411C1" w:rsidRPr="006E16F9" w:rsidRDefault="009411C1" w:rsidP="009411C1">
      <w:pPr>
        <w:spacing w:line="480" w:lineRule="auto"/>
        <w:ind w:left="720" w:hanging="720"/>
        <w:jc w:val="both"/>
        <w:rPr>
          <w:rFonts w:asciiTheme="majorBidi" w:hAnsiTheme="majorBidi" w:cstheme="majorBidi"/>
          <w:sz w:val="22"/>
          <w:szCs w:val="22"/>
        </w:rPr>
      </w:pPr>
      <w:r w:rsidRPr="006E16F9">
        <w:rPr>
          <w:rFonts w:asciiTheme="majorBidi" w:hAnsiTheme="majorBidi" w:cstheme="majorBidi"/>
          <w:sz w:val="22"/>
          <w:szCs w:val="22"/>
          <w:lang w:eastAsia="fr-FR"/>
        </w:rPr>
        <w:lastRenderedPageBreak/>
        <w:t xml:space="preserve">Yousef, S., &amp; Yousef, K. (2022). The impact of Facebook usage in education on students’ academic performance at the University of Jordan. </w:t>
      </w:r>
      <w:r w:rsidRPr="006E16F9">
        <w:rPr>
          <w:rFonts w:asciiTheme="majorBidi" w:hAnsiTheme="majorBidi" w:cstheme="majorBidi"/>
          <w:i/>
          <w:iCs/>
          <w:sz w:val="22"/>
          <w:szCs w:val="22"/>
          <w:lang w:eastAsia="fr-FR"/>
        </w:rPr>
        <w:t>Journal of E-Learning and Knowledge Society, 18</w:t>
      </w:r>
      <w:r w:rsidRPr="006E16F9">
        <w:rPr>
          <w:rFonts w:asciiTheme="majorBidi" w:hAnsiTheme="majorBidi" w:cstheme="majorBidi"/>
          <w:sz w:val="22"/>
          <w:szCs w:val="22"/>
          <w:lang w:eastAsia="fr-FR"/>
        </w:rPr>
        <w:t xml:space="preserve">(2), 59–74. </w:t>
      </w:r>
      <w:hyperlink r:id="rId8" w:history="1">
        <w:r w:rsidRPr="006E16F9">
          <w:rPr>
            <w:rFonts w:asciiTheme="majorBidi" w:hAnsiTheme="majorBidi" w:cstheme="majorBidi"/>
            <w:sz w:val="22"/>
            <w:szCs w:val="22"/>
            <w:u w:val="single"/>
            <w:lang w:eastAsia="fr-FR"/>
          </w:rPr>
          <w:t>https://doi.org/10.20368/1971-8829/1135393</w:t>
        </w:r>
      </w:hyperlink>
    </w:p>
    <w:p w14:paraId="0DE0AC1F" w14:textId="77777777" w:rsidR="00401838" w:rsidRPr="006E16F9" w:rsidRDefault="00401838" w:rsidP="009411C1">
      <w:pPr>
        <w:tabs>
          <w:tab w:val="left" w:pos="284"/>
          <w:tab w:val="left" w:pos="426"/>
        </w:tabs>
        <w:spacing w:line="480" w:lineRule="auto"/>
        <w:jc w:val="both"/>
        <w:rPr>
          <w:rFonts w:asciiTheme="majorBidi" w:hAnsiTheme="majorBidi" w:cstheme="majorBidi"/>
          <w:sz w:val="22"/>
          <w:szCs w:val="22"/>
        </w:rPr>
      </w:pPr>
    </w:p>
    <w:bookmarkEnd w:id="0"/>
    <w:p w14:paraId="478B2F0B" w14:textId="76DA47B6" w:rsidR="00CA25DC" w:rsidRPr="006E16F9" w:rsidRDefault="00CA25DC" w:rsidP="009411C1">
      <w:pPr>
        <w:spacing w:after="200" w:line="480" w:lineRule="auto"/>
        <w:jc w:val="both"/>
        <w:rPr>
          <w:rFonts w:asciiTheme="majorBidi" w:hAnsiTheme="majorBidi" w:cstheme="majorBidi"/>
          <w:sz w:val="22"/>
          <w:szCs w:val="22"/>
        </w:rPr>
      </w:pPr>
    </w:p>
    <w:sectPr w:rsidR="00CA25DC" w:rsidRPr="006E16F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0E646C"/>
    <w:multiLevelType w:val="hybridMultilevel"/>
    <w:tmpl w:val="15B4F1DE"/>
    <w:lvl w:ilvl="0" w:tplc="6930C9D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nsid w:val="42BD1E5D"/>
    <w:multiLevelType w:val="hybridMultilevel"/>
    <w:tmpl w:val="F41A36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C3438DE"/>
    <w:multiLevelType w:val="hybridMultilevel"/>
    <w:tmpl w:val="ACF84642"/>
    <w:lvl w:ilvl="0" w:tplc="E0E43DC8">
      <w:start w:val="1"/>
      <w:numFmt w:val="bullet"/>
      <w:lvlText w:val="●"/>
      <w:lvlJc w:val="left"/>
      <w:pPr>
        <w:ind w:left="720" w:hanging="360"/>
      </w:pPr>
    </w:lvl>
    <w:lvl w:ilvl="1" w:tplc="9FD4F688">
      <w:start w:val="1"/>
      <w:numFmt w:val="bullet"/>
      <w:lvlText w:val="○"/>
      <w:lvlJc w:val="left"/>
      <w:pPr>
        <w:ind w:left="1440" w:hanging="360"/>
      </w:pPr>
    </w:lvl>
    <w:lvl w:ilvl="2" w:tplc="450EAFAC">
      <w:start w:val="1"/>
      <w:numFmt w:val="bullet"/>
      <w:lvlText w:val="■"/>
      <w:lvlJc w:val="left"/>
      <w:pPr>
        <w:ind w:left="2160" w:hanging="360"/>
      </w:pPr>
    </w:lvl>
    <w:lvl w:ilvl="3" w:tplc="01F424CC">
      <w:start w:val="1"/>
      <w:numFmt w:val="bullet"/>
      <w:lvlText w:val="●"/>
      <w:lvlJc w:val="left"/>
      <w:pPr>
        <w:ind w:left="2880" w:hanging="360"/>
      </w:pPr>
    </w:lvl>
    <w:lvl w:ilvl="4" w:tplc="0BAC24B0">
      <w:start w:val="1"/>
      <w:numFmt w:val="bullet"/>
      <w:lvlText w:val="○"/>
      <w:lvlJc w:val="left"/>
      <w:pPr>
        <w:ind w:left="3600" w:hanging="360"/>
      </w:pPr>
    </w:lvl>
    <w:lvl w:ilvl="5" w:tplc="F1E21BC6">
      <w:start w:val="1"/>
      <w:numFmt w:val="bullet"/>
      <w:lvlText w:val="■"/>
      <w:lvlJc w:val="left"/>
      <w:pPr>
        <w:ind w:left="4320" w:hanging="360"/>
      </w:pPr>
    </w:lvl>
    <w:lvl w:ilvl="6" w:tplc="00D2FA5C">
      <w:start w:val="1"/>
      <w:numFmt w:val="bullet"/>
      <w:lvlText w:val="●"/>
      <w:lvlJc w:val="left"/>
      <w:pPr>
        <w:ind w:left="5040" w:hanging="360"/>
      </w:pPr>
    </w:lvl>
    <w:lvl w:ilvl="7" w:tplc="364EA286">
      <w:start w:val="1"/>
      <w:numFmt w:val="bullet"/>
      <w:lvlText w:val="●"/>
      <w:lvlJc w:val="left"/>
      <w:pPr>
        <w:ind w:left="5760" w:hanging="360"/>
      </w:pPr>
    </w:lvl>
    <w:lvl w:ilvl="8" w:tplc="90684C80">
      <w:start w:val="1"/>
      <w:numFmt w:val="bullet"/>
      <w:lvlText w:val="●"/>
      <w:lvlJc w:val="left"/>
      <w:pPr>
        <w:ind w:left="6480" w:hanging="360"/>
      </w:pPr>
    </w:lvl>
  </w:abstractNum>
  <w:abstractNum w:abstractNumId="3">
    <w:nsid w:val="51741ABA"/>
    <w:multiLevelType w:val="hybridMultilevel"/>
    <w:tmpl w:val="B158F2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B0A3B17"/>
    <w:multiLevelType w:val="hybridMultilevel"/>
    <w:tmpl w:val="81B8EEB4"/>
    <w:lvl w:ilvl="0" w:tplc="DE86784C">
      <w:start w:val="1"/>
      <w:numFmt w:val="decimal"/>
      <w:lvlText w:val="%1."/>
      <w:lvlJc w:val="left"/>
      <w:pPr>
        <w:ind w:left="72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DC6363"/>
    <w:multiLevelType w:val="hybridMultilevel"/>
    <w:tmpl w:val="2B4676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7CBD32C1"/>
    <w:multiLevelType w:val="hybridMultilevel"/>
    <w:tmpl w:val="9AC03B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lvlOverride w:ilvl="0">
      <w:startOverride w:val="1"/>
    </w:lvlOverride>
  </w:num>
  <w:num w:numId="2">
    <w:abstractNumId w:val="3"/>
  </w:num>
  <w:num w:numId="3">
    <w:abstractNumId w:val="4"/>
  </w:num>
  <w:num w:numId="4">
    <w:abstractNumId w:val="0"/>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5DC"/>
    <w:rsid w:val="00025B3E"/>
    <w:rsid w:val="002946C2"/>
    <w:rsid w:val="002D33ED"/>
    <w:rsid w:val="002D37ED"/>
    <w:rsid w:val="00401838"/>
    <w:rsid w:val="00607782"/>
    <w:rsid w:val="006E16F9"/>
    <w:rsid w:val="007D6331"/>
    <w:rsid w:val="008F5C4E"/>
    <w:rsid w:val="00920F72"/>
    <w:rsid w:val="009411C1"/>
    <w:rsid w:val="009A5DDC"/>
    <w:rsid w:val="00B2647D"/>
    <w:rsid w:val="00C142F9"/>
    <w:rsid w:val="00C55679"/>
    <w:rsid w:val="00C96C25"/>
    <w:rsid w:val="00CA25DC"/>
    <w:rsid w:val="00CA2F4F"/>
    <w:rsid w:val="00D11A4C"/>
    <w:rsid w:val="00D45EAB"/>
    <w:rsid w:val="00E36278"/>
    <w:rsid w:val="00FD35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30D0C"/>
  <w15:docId w15:val="{5D732358-4FD9-4EAC-9FA3-DF0E80CD0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NormalWeb">
    <w:name w:val="Normal (Web)"/>
    <w:basedOn w:val="Normal"/>
    <w:uiPriority w:val="99"/>
    <w:rsid w:val="00607782"/>
    <w:pPr>
      <w:spacing w:before="100" w:beforeAutospacing="1" w:after="100" w:afterAutospacing="1"/>
    </w:pPr>
    <w:rPr>
      <w:lang w:val="en-US" w:eastAsia="en-US"/>
    </w:rPr>
  </w:style>
  <w:style w:type="table" w:styleId="Grilledutableau">
    <w:name w:val="Table Grid"/>
    <w:basedOn w:val="TableauNormal"/>
    <w:uiPriority w:val="59"/>
    <w:rsid w:val="002D33ED"/>
    <w:rPr>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452830">
      <w:bodyDiv w:val="1"/>
      <w:marLeft w:val="0"/>
      <w:marRight w:val="0"/>
      <w:marTop w:val="0"/>
      <w:marBottom w:val="0"/>
      <w:divBdr>
        <w:top w:val="none" w:sz="0" w:space="0" w:color="auto"/>
        <w:left w:val="none" w:sz="0" w:space="0" w:color="auto"/>
        <w:bottom w:val="none" w:sz="0" w:space="0" w:color="auto"/>
        <w:right w:val="none" w:sz="0" w:space="0" w:color="auto"/>
      </w:divBdr>
    </w:div>
    <w:div w:id="17824566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20368/1971-8829/1135393" TargetMode="External"/><Relationship Id="rId3" Type="http://schemas.openxmlformats.org/officeDocument/2006/relationships/settings" Target="settings.xml"/><Relationship Id="rId7" Type="http://schemas.openxmlformats.org/officeDocument/2006/relationships/hyperlink" Target="https://doi.org/10.1007/s11159-019-0979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88/1742-6596/801/1/012091" TargetMode="External"/><Relationship Id="rId5" Type="http://schemas.openxmlformats.org/officeDocument/2006/relationships/hyperlink" Target="https://doi.org/10.1108/ET-07-2017-010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25</Pages>
  <Words>7744</Words>
  <Characters>42596</Characters>
  <Application>Microsoft Office Word</Application>
  <DocSecurity>0</DocSecurity>
  <Lines>354</Lines>
  <Paragraphs>100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6</cp:revision>
  <dcterms:created xsi:type="dcterms:W3CDTF">2026-06-19T17:05:00Z</dcterms:created>
  <dcterms:modified xsi:type="dcterms:W3CDTF">2026-06-20T08:13:00Z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522a7993-6b6f-4701-9fe9-70a22d8e6237</vt:lpwstr>
  </property>
</Properties>
</file>