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15D55" w14:textId="0586AE2D" w:rsidR="006B32D2" w:rsidRPr="00F71823" w:rsidRDefault="00866FE7">
      <w:pPr>
        <w:spacing w:line="480" w:lineRule="auto"/>
        <w:jc w:val="center"/>
        <w:rPr>
          <w:rFonts w:ascii="Times New Roman" w:hAnsi="Times New Roman" w:cs="Times New Roman"/>
          <w:b/>
          <w:bCs/>
          <w:sz w:val="22"/>
          <w:szCs w:val="22"/>
        </w:rPr>
      </w:pPr>
      <w:r>
        <w:rPr>
          <w:rFonts w:ascii="Times New Roman" w:hAnsi="Times New Roman" w:cs="Times New Roman"/>
          <w:b/>
          <w:bCs/>
          <w:sz w:val="22"/>
          <w:szCs w:val="22"/>
        </w:rPr>
        <w:t xml:space="preserve">A Critical Analysis of the </w:t>
      </w:r>
      <w:r w:rsidR="00000000" w:rsidRPr="00F71823">
        <w:rPr>
          <w:rFonts w:ascii="Times New Roman" w:hAnsi="Times New Roman" w:cs="Times New Roman"/>
          <w:b/>
          <w:bCs/>
          <w:sz w:val="22"/>
          <w:szCs w:val="22"/>
        </w:rPr>
        <w:t>Metaphysics of Social Order in Africa</w:t>
      </w:r>
    </w:p>
    <w:p w14:paraId="0616589B" w14:textId="77777777" w:rsidR="006B32D2" w:rsidRPr="00F71823" w:rsidRDefault="00000000">
      <w:pPr>
        <w:spacing w:line="480" w:lineRule="auto"/>
        <w:rPr>
          <w:rFonts w:ascii="Times New Roman" w:hAnsi="Times New Roman" w:cs="Times New Roman"/>
          <w:b/>
          <w:bCs/>
          <w:sz w:val="22"/>
          <w:szCs w:val="22"/>
        </w:rPr>
      </w:pPr>
      <w:r w:rsidRPr="00F71823">
        <w:rPr>
          <w:rFonts w:ascii="Times New Roman" w:hAnsi="Times New Roman" w:cs="Times New Roman"/>
          <w:b/>
          <w:bCs/>
          <w:sz w:val="22"/>
          <w:szCs w:val="22"/>
        </w:rPr>
        <w:t>Abstract</w:t>
      </w:r>
    </w:p>
    <w:p w14:paraId="2251D3CE" w14:textId="005139C9"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In African metaphysics, ‘being’ refers to all manifestations of existence.</w:t>
      </w:r>
      <w:r w:rsidR="00F85BF8" w:rsidRPr="00F71823">
        <w:rPr>
          <w:rFonts w:ascii="Times New Roman" w:hAnsi="Times New Roman" w:cs="Times New Roman"/>
          <w:sz w:val="22"/>
          <w:szCs w:val="22"/>
        </w:rPr>
        <w:t xml:space="preserve"> </w:t>
      </w:r>
      <w:r w:rsidRPr="00F71823">
        <w:rPr>
          <w:rFonts w:ascii="Times New Roman" w:hAnsi="Times New Roman" w:cs="Times New Roman"/>
          <w:sz w:val="22"/>
          <w:szCs w:val="22"/>
        </w:rPr>
        <w:t xml:space="preserve">Every entity in the universe is ontologically a being gifted with life. This worldview puts a premium on the idea that all entities, physical and non-physical, share a common existence. Each entity has either positive or negative impact on </w:t>
      </w:r>
      <w:r w:rsidR="00F85BF8" w:rsidRPr="00F71823">
        <w:rPr>
          <w:rFonts w:ascii="Times New Roman" w:hAnsi="Times New Roman" w:cs="Times New Roman"/>
          <w:sz w:val="22"/>
          <w:szCs w:val="22"/>
        </w:rPr>
        <w:t>an</w:t>
      </w:r>
      <w:r w:rsidRPr="00F71823">
        <w:rPr>
          <w:rFonts w:ascii="Times New Roman" w:hAnsi="Times New Roman" w:cs="Times New Roman"/>
          <w:sz w:val="22"/>
          <w:szCs w:val="22"/>
        </w:rPr>
        <w:t xml:space="preserve">other, and it is this interaction that keeps the cosmos alive or brings it to destruction. </w:t>
      </w:r>
      <w:r w:rsidR="007B0B80" w:rsidRPr="00F71823">
        <w:rPr>
          <w:rFonts w:ascii="Times New Roman" w:hAnsi="Times New Roman" w:cs="Times New Roman"/>
          <w:sz w:val="22"/>
          <w:szCs w:val="22"/>
        </w:rPr>
        <w:t>T</w:t>
      </w:r>
      <w:r w:rsidRPr="00F71823">
        <w:rPr>
          <w:rFonts w:ascii="Times New Roman" w:hAnsi="Times New Roman" w:cs="Times New Roman"/>
          <w:sz w:val="22"/>
          <w:szCs w:val="22"/>
        </w:rPr>
        <w:t xml:space="preserve">his study </w:t>
      </w:r>
      <w:proofErr w:type="spellStart"/>
      <w:r w:rsidRPr="00F71823">
        <w:rPr>
          <w:rFonts w:ascii="Times New Roman" w:hAnsi="Times New Roman" w:cs="Times New Roman"/>
          <w:sz w:val="22"/>
          <w:szCs w:val="22"/>
        </w:rPr>
        <w:t>analy</w:t>
      </w:r>
      <w:r w:rsidR="007B0B80" w:rsidRPr="00F71823">
        <w:rPr>
          <w:rFonts w:ascii="Times New Roman" w:hAnsi="Times New Roman" w:cs="Times New Roman"/>
          <w:sz w:val="22"/>
          <w:szCs w:val="22"/>
        </w:rPr>
        <w:t>s</w:t>
      </w:r>
      <w:r w:rsidRPr="00F71823">
        <w:rPr>
          <w:rFonts w:ascii="Times New Roman" w:hAnsi="Times New Roman" w:cs="Times New Roman"/>
          <w:sz w:val="22"/>
          <w:szCs w:val="22"/>
        </w:rPr>
        <w:t>ed</w:t>
      </w:r>
      <w:proofErr w:type="spellEnd"/>
      <w:r w:rsidRPr="00F71823">
        <w:rPr>
          <w:rFonts w:ascii="Times New Roman" w:hAnsi="Times New Roman" w:cs="Times New Roman"/>
          <w:sz w:val="22"/>
          <w:szCs w:val="22"/>
        </w:rPr>
        <w:t xml:space="preserve"> and established this metaphysical underpinning to build social order. It incorporates Immanuel Kant</w:t>
      </w:r>
      <w:r w:rsidR="00F85BF8" w:rsidRPr="00F71823">
        <w:rPr>
          <w:rFonts w:ascii="Times New Roman" w:hAnsi="Times New Roman" w:cs="Times New Roman"/>
          <w:sz w:val="22"/>
          <w:szCs w:val="22"/>
        </w:rPr>
        <w:t>’</w:t>
      </w:r>
      <w:r w:rsidRPr="00F71823">
        <w:rPr>
          <w:rFonts w:ascii="Times New Roman" w:hAnsi="Times New Roman" w:cs="Times New Roman"/>
          <w:sz w:val="22"/>
          <w:szCs w:val="22"/>
        </w:rPr>
        <w:t xml:space="preserve">s Categorical Imperative, as a guideline for </w:t>
      </w:r>
      <w:r w:rsidR="00F85BF8" w:rsidRPr="00F71823">
        <w:rPr>
          <w:rFonts w:ascii="Times New Roman" w:hAnsi="Times New Roman" w:cs="Times New Roman"/>
          <w:sz w:val="22"/>
          <w:szCs w:val="22"/>
        </w:rPr>
        <w:t xml:space="preserve">fostering </w:t>
      </w:r>
      <w:r w:rsidRPr="00F71823">
        <w:rPr>
          <w:rFonts w:ascii="Times New Roman" w:hAnsi="Times New Roman" w:cs="Times New Roman"/>
          <w:sz w:val="22"/>
          <w:szCs w:val="22"/>
        </w:rPr>
        <w:t>social order</w:t>
      </w:r>
      <w:r w:rsidR="00F85BF8" w:rsidRPr="00F71823">
        <w:rPr>
          <w:rFonts w:ascii="Times New Roman" w:hAnsi="Times New Roman" w:cs="Times New Roman"/>
          <w:sz w:val="22"/>
          <w:szCs w:val="22"/>
        </w:rPr>
        <w:t>.</w:t>
      </w:r>
      <w:r w:rsidRPr="00F71823">
        <w:rPr>
          <w:rFonts w:ascii="Times New Roman" w:hAnsi="Times New Roman" w:cs="Times New Roman"/>
          <w:sz w:val="22"/>
          <w:szCs w:val="22"/>
        </w:rPr>
        <w:t xml:space="preserve"> This paper</w:t>
      </w:r>
      <w:r w:rsidR="00F85BF8" w:rsidRPr="00F71823">
        <w:rPr>
          <w:rFonts w:ascii="Times New Roman" w:hAnsi="Times New Roman" w:cs="Times New Roman"/>
          <w:sz w:val="22"/>
          <w:szCs w:val="22"/>
        </w:rPr>
        <w:t>’</w:t>
      </w:r>
      <w:r w:rsidRPr="00F71823">
        <w:rPr>
          <w:rFonts w:ascii="Times New Roman" w:hAnsi="Times New Roman" w:cs="Times New Roman"/>
          <w:sz w:val="22"/>
          <w:szCs w:val="22"/>
        </w:rPr>
        <w:t xml:space="preserve">s conclusion is that African metaphysics </w:t>
      </w:r>
      <w:r w:rsidR="00F85BF8" w:rsidRPr="00F71823">
        <w:rPr>
          <w:rFonts w:ascii="Times New Roman" w:hAnsi="Times New Roman" w:cs="Times New Roman"/>
          <w:sz w:val="22"/>
          <w:szCs w:val="22"/>
        </w:rPr>
        <w:t>promotes</w:t>
      </w:r>
      <w:r w:rsidRPr="00F71823">
        <w:rPr>
          <w:rFonts w:ascii="Times New Roman" w:hAnsi="Times New Roman" w:cs="Times New Roman"/>
          <w:sz w:val="22"/>
          <w:szCs w:val="22"/>
        </w:rPr>
        <w:t xml:space="preserve"> social harmony</w:t>
      </w:r>
      <w:r w:rsidR="00F85BF8" w:rsidRPr="00F71823">
        <w:rPr>
          <w:rFonts w:ascii="Times New Roman" w:hAnsi="Times New Roman" w:cs="Times New Roman"/>
          <w:sz w:val="22"/>
          <w:szCs w:val="22"/>
        </w:rPr>
        <w:t>.</w:t>
      </w:r>
    </w:p>
    <w:p w14:paraId="3ABB16EF" w14:textId="47227823" w:rsidR="006B32D2" w:rsidRPr="00F71823" w:rsidRDefault="00000000">
      <w:pPr>
        <w:spacing w:before="100" w:beforeAutospacing="1" w:after="100" w:afterAutospacing="1" w:line="480" w:lineRule="auto"/>
        <w:jc w:val="both"/>
        <w:outlineLvl w:val="4"/>
        <w:rPr>
          <w:rFonts w:ascii="Times New Roman" w:hAnsi="Times New Roman" w:cs="Times New Roman"/>
          <w:sz w:val="22"/>
          <w:szCs w:val="22"/>
        </w:rPr>
      </w:pPr>
      <w:r w:rsidRPr="00F71823">
        <w:rPr>
          <w:rFonts w:ascii="Times New Roman" w:hAnsi="Times New Roman" w:cs="Times New Roman"/>
          <w:b/>
          <w:bCs/>
          <w:sz w:val="22"/>
          <w:szCs w:val="22"/>
        </w:rPr>
        <w:t xml:space="preserve">Keywords: </w:t>
      </w:r>
      <w:r w:rsidRPr="00F71823">
        <w:rPr>
          <w:rFonts w:ascii="Times New Roman" w:hAnsi="Times New Roman" w:cs="Times New Roman"/>
          <w:sz w:val="22"/>
          <w:szCs w:val="22"/>
        </w:rPr>
        <w:t xml:space="preserve">Africa, Being, Culture, Community, Social-order, Metaphysics. </w:t>
      </w:r>
    </w:p>
    <w:p w14:paraId="366B8FDD" w14:textId="77777777" w:rsidR="006B32D2" w:rsidRPr="00F71823" w:rsidRDefault="00000000">
      <w:pPr>
        <w:spacing w:line="480" w:lineRule="auto"/>
        <w:rPr>
          <w:rFonts w:ascii="Times New Roman" w:hAnsi="Times New Roman" w:cs="Times New Roman"/>
          <w:sz w:val="22"/>
          <w:szCs w:val="22"/>
        </w:rPr>
      </w:pPr>
      <w:r w:rsidRPr="00F71823">
        <w:rPr>
          <w:rFonts w:ascii="Times New Roman" w:hAnsi="Times New Roman" w:cs="Times New Roman"/>
          <w:b/>
          <w:bCs/>
          <w:sz w:val="22"/>
          <w:szCs w:val="22"/>
        </w:rPr>
        <w:t>Introduction</w:t>
      </w:r>
    </w:p>
    <w:p w14:paraId="577ADE3C"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When we ask questions that transcend the physical, we advance towards the field of metaphysics. The book "First Philosophy" by Aristotle is where the phrase "metaphysics" first appeared. Aristotle referred to his writings in the book as the "First Way of Philosophy" rather than "metaphysics." The book's first section, titled "Physics," deals with motion. The final section describes the source of all motion, which is immaterial and inert, producing no </w:t>
      </w:r>
      <w:proofErr w:type="gramStart"/>
      <w:r w:rsidRPr="00F71823">
        <w:rPr>
          <w:rFonts w:ascii="Times New Roman" w:hAnsi="Times New Roman" w:cs="Times New Roman"/>
          <w:sz w:val="22"/>
          <w:szCs w:val="22"/>
        </w:rPr>
        <w:t>motion in itself</w:t>
      </w:r>
      <w:proofErr w:type="gramEnd"/>
      <w:r w:rsidRPr="00F71823">
        <w:rPr>
          <w:rFonts w:ascii="Times New Roman" w:hAnsi="Times New Roman" w:cs="Times New Roman"/>
          <w:sz w:val="22"/>
          <w:szCs w:val="22"/>
        </w:rPr>
        <w:t>. The second half, which he referred to as geometry, deals with inactive substances. The last part is concerned with the source of every form of motion and since metaphysics holds that God is the source of all things, it is the most noble discipline, as Aristotle would have us believe. Physical science would be the First Philosophy if material principles were the primary and genuine foundations of reality. Many scholars today recognize that science cannot explain everything. Science raises questions that it can't always provide answers for. In this sense, empirical science is dependent on metaphysics because many of its questions require us to move beyond empirical science (Selman, 2000).</w:t>
      </w:r>
    </w:p>
    <w:p w14:paraId="1FAC928B" w14:textId="00481C60"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lastRenderedPageBreak/>
        <w:t xml:space="preserve">African culture is deeply ingrained in metaphysics, to the extent that all life's experiences—from conception to death and beyond—are interpreted in terms of metaphysics. Thus, the metaphysics of their culture justifies all types of knowledge, whether they are past, present, or future. Similarly, </w:t>
      </w:r>
      <w:r w:rsidR="00F85BF8" w:rsidRPr="00F71823">
        <w:rPr>
          <w:rFonts w:ascii="Times New Roman" w:hAnsi="Times New Roman" w:cs="Times New Roman"/>
          <w:sz w:val="22"/>
          <w:szCs w:val="22"/>
        </w:rPr>
        <w:t>scientific</w:t>
      </w:r>
      <w:r w:rsidRPr="00F71823">
        <w:rPr>
          <w:rFonts w:ascii="Times New Roman" w:hAnsi="Times New Roman" w:cs="Times New Roman"/>
          <w:sz w:val="22"/>
          <w:szCs w:val="22"/>
        </w:rPr>
        <w:t xml:space="preserve"> culture is one of inquiry into the knowledge of the physical. To learn more about the universe and provide an explanation for events in our immediate surroundings, science conducts a structured and methodical quest for the truth about reality. Accumulating information about the world, rather than reality beyond </w:t>
      </w:r>
      <w:r w:rsidR="00F85BF8" w:rsidRPr="00F71823">
        <w:rPr>
          <w:rFonts w:ascii="Times New Roman" w:hAnsi="Times New Roman" w:cs="Times New Roman"/>
          <w:sz w:val="22"/>
          <w:szCs w:val="22"/>
        </w:rPr>
        <w:t>physical</w:t>
      </w:r>
      <w:r w:rsidRPr="00F71823">
        <w:rPr>
          <w:rFonts w:ascii="Times New Roman" w:hAnsi="Times New Roman" w:cs="Times New Roman"/>
          <w:sz w:val="22"/>
          <w:szCs w:val="22"/>
        </w:rPr>
        <w:t xml:space="preserve">, is the </w:t>
      </w:r>
      <w:r w:rsidR="00F85BF8" w:rsidRPr="00F71823">
        <w:rPr>
          <w:rFonts w:ascii="Times New Roman" w:hAnsi="Times New Roman" w:cs="Times New Roman"/>
          <w:sz w:val="22"/>
          <w:szCs w:val="22"/>
        </w:rPr>
        <w:t>focus</w:t>
      </w:r>
      <w:r w:rsidRPr="00F71823">
        <w:rPr>
          <w:rFonts w:ascii="Times New Roman" w:hAnsi="Times New Roman" w:cs="Times New Roman"/>
          <w:sz w:val="22"/>
          <w:szCs w:val="22"/>
        </w:rPr>
        <w:t xml:space="preserve"> of science. Ironically, though, science's quest for knowledge is rooted </w:t>
      </w:r>
      <w:proofErr w:type="gramStart"/>
      <w:r w:rsidRPr="00F71823">
        <w:rPr>
          <w:rFonts w:ascii="Times New Roman" w:hAnsi="Times New Roman" w:cs="Times New Roman"/>
          <w:sz w:val="22"/>
          <w:szCs w:val="22"/>
        </w:rPr>
        <w:t>in reality that</w:t>
      </w:r>
      <w:proofErr w:type="gramEnd"/>
      <w:r w:rsidRPr="00F71823">
        <w:rPr>
          <w:rFonts w:ascii="Times New Roman" w:hAnsi="Times New Roman" w:cs="Times New Roman"/>
          <w:sz w:val="22"/>
          <w:szCs w:val="22"/>
        </w:rPr>
        <w:t xml:space="preserve"> transcends the physical, and this is where metaphysics becomes important.</w:t>
      </w:r>
    </w:p>
    <w:p w14:paraId="3A7EA3CE" w14:textId="77777777" w:rsidR="006B32D2"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Taking the overall concept of knowledge as an example, it is important to remember that in African thought system, knowledge is essential to the culture of community, social interactions, and being with others because communication with others requires knowledge. It is considered that no society can endure without communication with the external world. People no longer need to physically relocate to another area to communicate with people </w:t>
      </w:r>
      <w:proofErr w:type="gramStart"/>
      <w:r w:rsidRPr="00F71823">
        <w:rPr>
          <w:rFonts w:ascii="Times New Roman" w:hAnsi="Times New Roman" w:cs="Times New Roman"/>
          <w:sz w:val="22"/>
          <w:szCs w:val="22"/>
        </w:rPr>
        <w:t>from different cultures,</w:t>
      </w:r>
      <w:proofErr w:type="gramEnd"/>
      <w:r w:rsidRPr="00F71823">
        <w:rPr>
          <w:rFonts w:ascii="Times New Roman" w:hAnsi="Times New Roman" w:cs="Times New Roman"/>
          <w:sz w:val="22"/>
          <w:szCs w:val="22"/>
        </w:rPr>
        <w:t xml:space="preserve"> thanks to the advancements in modern technology. Knowledge sharing is a process of cultural inter-subjectivity that promotes community life in Africa. This common understanding is supported and validated by metaphysics. This is based on the reasons that knowledge assertions cannot be provided without reference to their metaphysical basis. Knowledge and belief cannot exist independently; they are inextricably linked. However, believing does not imply knowledge, and vice versa. Knowing that 'x' is a taboo means believing that it is a taboo. For a belief to become knowledge, it must first be justified. That justification would necessitate additional justification. Because this process cannot continue indefinitely, we must rely on a first basis that is completely beyond physical observation. At this moment in any claim to knowledge, African or Western, we enter the world of metaphysics. This indicates that our knowledge claims and social interactions are deeply rooted in metaphysics. Therefore, to be with others in a socially ordered manner would require some metaphysical interpretations.  </w:t>
      </w:r>
    </w:p>
    <w:p w14:paraId="66D4E5AD" w14:textId="77777777" w:rsidR="00F71823" w:rsidRPr="00F71823" w:rsidRDefault="00F71823">
      <w:pPr>
        <w:spacing w:line="480" w:lineRule="auto"/>
        <w:jc w:val="both"/>
        <w:rPr>
          <w:rFonts w:ascii="Times New Roman" w:hAnsi="Times New Roman" w:cs="Times New Roman"/>
          <w:sz w:val="22"/>
          <w:szCs w:val="22"/>
        </w:rPr>
      </w:pPr>
    </w:p>
    <w:p w14:paraId="275EF05A" w14:textId="77777777" w:rsidR="006B32D2" w:rsidRPr="00F71823" w:rsidRDefault="00000000">
      <w:pPr>
        <w:spacing w:after="0" w:line="480" w:lineRule="auto"/>
        <w:jc w:val="both"/>
        <w:rPr>
          <w:rFonts w:ascii="Times New Roman" w:hAnsi="Times New Roman" w:cs="Times New Roman"/>
          <w:b/>
          <w:bCs/>
          <w:sz w:val="22"/>
          <w:szCs w:val="22"/>
        </w:rPr>
      </w:pPr>
      <w:r w:rsidRPr="00F71823">
        <w:rPr>
          <w:rFonts w:ascii="Times New Roman" w:hAnsi="Times New Roman" w:cs="Times New Roman"/>
          <w:b/>
          <w:bCs/>
          <w:sz w:val="22"/>
          <w:szCs w:val="22"/>
        </w:rPr>
        <w:lastRenderedPageBreak/>
        <w:t>Theoretical framework</w:t>
      </w:r>
    </w:p>
    <w:p w14:paraId="0037705C"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The Categorical Imperative, popularized by Immanuel Kant, can be used as a guideline for the study of social order because it encourages people to behave towards others how they would like to be treated and that, this behavior should become a universal maxim. Stated differently, it promotes an individual’s interpretation of </w:t>
      </w:r>
      <w:proofErr w:type="gramStart"/>
      <w:r w:rsidRPr="00F71823">
        <w:rPr>
          <w:rFonts w:ascii="Times New Roman" w:hAnsi="Times New Roman" w:cs="Times New Roman"/>
          <w:sz w:val="22"/>
          <w:szCs w:val="22"/>
        </w:rPr>
        <w:t>others’</w:t>
      </w:r>
      <w:proofErr w:type="gramEnd"/>
      <w:r w:rsidRPr="00F71823">
        <w:rPr>
          <w:rFonts w:ascii="Times New Roman" w:hAnsi="Times New Roman" w:cs="Times New Roman"/>
          <w:sz w:val="22"/>
          <w:szCs w:val="22"/>
        </w:rPr>
        <w:t xml:space="preserve"> lived experiences based on how they would like their lived experiences to be interpreted. This allows one to see right through the reasons behind people's actions and convictions.  According to Lindberg (2001), "charity is forced on us, whether we like it or not, if we want to understand others, we must count them right in most matters" because People have good enough justifications for their thoughts and beliefs. When we examine human thoughts and the world around us through the lenses of bias, prejudice, preconception, and predisposition, the result is a bizarre and warped perception of these things and experiences. However, if we approach things objectively without any bias, we can easily see things for what they truly are, which allows us to understand their essence. Absolute certainty of knowledge could only be obtained from precisely intuited essences. Only an impartial, detached, </w:t>
      </w:r>
      <w:proofErr w:type="gramStart"/>
      <w:r w:rsidRPr="00F71823">
        <w:rPr>
          <w:rFonts w:ascii="Times New Roman" w:hAnsi="Times New Roman" w:cs="Times New Roman"/>
          <w:sz w:val="22"/>
          <w:szCs w:val="22"/>
        </w:rPr>
        <w:t>and,</w:t>
      </w:r>
      <w:proofErr w:type="gramEnd"/>
      <w:r w:rsidRPr="00F71823">
        <w:rPr>
          <w:rFonts w:ascii="Times New Roman" w:hAnsi="Times New Roman" w:cs="Times New Roman"/>
          <w:sz w:val="22"/>
          <w:szCs w:val="22"/>
        </w:rPr>
        <w:t xml:space="preserve"> unbiased ego or self may accurately intuit essences (Unah, 2004).</w:t>
      </w:r>
    </w:p>
    <w:p w14:paraId="69DE2DB8" w14:textId="77777777" w:rsidR="006B32D2" w:rsidRPr="00F71823" w:rsidRDefault="00000000">
      <w:pPr>
        <w:spacing w:after="0" w:line="480" w:lineRule="auto"/>
        <w:jc w:val="both"/>
        <w:rPr>
          <w:rFonts w:ascii="Times New Roman" w:hAnsi="Times New Roman" w:cs="Times New Roman"/>
          <w:b/>
          <w:bCs/>
          <w:sz w:val="22"/>
          <w:szCs w:val="22"/>
        </w:rPr>
      </w:pPr>
      <w:r w:rsidRPr="00F71823">
        <w:rPr>
          <w:rFonts w:ascii="Times New Roman" w:hAnsi="Times New Roman" w:cs="Times New Roman"/>
          <w:b/>
          <w:bCs/>
          <w:sz w:val="22"/>
          <w:szCs w:val="22"/>
        </w:rPr>
        <w:t>Africans and the Culture of Inter-Subjectivity</w:t>
      </w:r>
    </w:p>
    <w:p w14:paraId="0B8CE3CF"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Inter-subjectivity is necessary to affirm humans as social beings who coexist with other beings and as beings who exist in the world. For there to be authenticity and harmony in this type of relationship, "the self" and "the other" must constantly be reconciled (</w:t>
      </w:r>
      <w:proofErr w:type="spellStart"/>
      <w:r w:rsidRPr="00F71823">
        <w:rPr>
          <w:rFonts w:ascii="Times New Roman" w:hAnsi="Times New Roman" w:cs="Times New Roman"/>
          <w:sz w:val="22"/>
          <w:szCs w:val="22"/>
        </w:rPr>
        <w:t>Oyeshile</w:t>
      </w:r>
      <w:proofErr w:type="spellEnd"/>
      <w:r w:rsidRPr="00F71823">
        <w:rPr>
          <w:rFonts w:ascii="Times New Roman" w:hAnsi="Times New Roman" w:cs="Times New Roman"/>
          <w:sz w:val="22"/>
          <w:szCs w:val="22"/>
        </w:rPr>
        <w:t xml:space="preserve">, 2011). </w:t>
      </w:r>
      <w:proofErr w:type="gramStart"/>
      <w:r w:rsidRPr="00F71823">
        <w:rPr>
          <w:rFonts w:ascii="Times New Roman" w:hAnsi="Times New Roman" w:cs="Times New Roman"/>
          <w:sz w:val="22"/>
          <w:szCs w:val="22"/>
        </w:rPr>
        <w:t>communal</w:t>
      </w:r>
      <w:proofErr w:type="gramEnd"/>
      <w:r w:rsidRPr="00F71823">
        <w:rPr>
          <w:rFonts w:ascii="Times New Roman" w:hAnsi="Times New Roman" w:cs="Times New Roman"/>
          <w:sz w:val="22"/>
          <w:szCs w:val="22"/>
        </w:rPr>
        <w:t xml:space="preserve"> living is chiefly a part of the way of life of people who relate to one another in networks, which are naturally composed of several parts. Communality is an instance where every part functions together to achieve a single goal. There is a relationship among beings in a society that is essential to the universe's survival. Because anything that affects one also affects the others in the category, all beings in a community are interconnected.</w:t>
      </w:r>
    </w:p>
    <w:p w14:paraId="370C36A5"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Plato claimed that being is a metaphysical and transcendent reality that exists inside humans, a belief that has endured across philosophical eras. Immanuel Kant rejected the notion, labelling it an impossibility because, in his view, being-in-itself is eternally unattainable for the human mind. Heidegger reintroduced </w:t>
      </w:r>
      <w:r w:rsidRPr="00F71823">
        <w:rPr>
          <w:rFonts w:ascii="Times New Roman" w:hAnsi="Times New Roman" w:cs="Times New Roman"/>
          <w:sz w:val="22"/>
          <w:szCs w:val="22"/>
        </w:rPr>
        <w:lastRenderedPageBreak/>
        <w:t>this concept when he stated in "Being and Time" that humans are more than just beings existing in the world; they are also beings that exist in relationships with others. According to Stumpf (1971), "Only man can raise the question about his being or about being itself." Therefore, the question of being is significant primarily to humans. He highlighted that comprehension of "being" is essential for genuine existence which existentially addresses the challenges associated with being-with-others (Unah, 1996).</w:t>
      </w:r>
    </w:p>
    <w:p w14:paraId="6A99257D"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Cooperation, coexistence, togetherness, and intersubjectivity are the fundamental aspects of community life that Africans find appealing. This implies that beings in such a mode of existence are linked, either through direct or indirect means. That is, they are the same, despite any disparities between them. This is why childbirth is celebrated communally among the 'Oza' people of Akoko-Edo, Edo state, Nigeria. The naming ceremony brings people together to witness and hear the child's name. Such names are generally associated with the events surrounding the marriage, conception, or birth of the child. According to </w:t>
      </w:r>
      <w:proofErr w:type="spellStart"/>
      <w:r w:rsidRPr="00F71823">
        <w:rPr>
          <w:rFonts w:ascii="Times New Roman" w:hAnsi="Times New Roman" w:cs="Times New Roman"/>
          <w:sz w:val="22"/>
          <w:szCs w:val="22"/>
        </w:rPr>
        <w:t>Masolo</w:t>
      </w:r>
      <w:proofErr w:type="spellEnd"/>
      <w:r w:rsidRPr="00F71823">
        <w:rPr>
          <w:rFonts w:ascii="Times New Roman" w:hAnsi="Times New Roman" w:cs="Times New Roman"/>
          <w:sz w:val="22"/>
          <w:szCs w:val="22"/>
        </w:rPr>
        <w:t xml:space="preserve"> (1994), a child's name connects them to their present and past ancestors and gives them a place in the community of </w:t>
      </w:r>
      <w:proofErr w:type="gramStart"/>
      <w:r w:rsidRPr="00F71823">
        <w:rPr>
          <w:rFonts w:ascii="Times New Roman" w:hAnsi="Times New Roman" w:cs="Times New Roman"/>
          <w:sz w:val="22"/>
          <w:szCs w:val="22"/>
        </w:rPr>
        <w:t>being</w:t>
      </w:r>
      <w:proofErr w:type="gramEnd"/>
      <w:r w:rsidRPr="00F71823">
        <w:rPr>
          <w:rFonts w:ascii="Times New Roman" w:hAnsi="Times New Roman" w:cs="Times New Roman"/>
          <w:sz w:val="22"/>
          <w:szCs w:val="22"/>
        </w:rPr>
        <w:t xml:space="preserve">. To have a place in a community involves identification with its members. Fashola (2021) opined that every member of a cultural group receives “his or her sense of identity from the cultural group in which he or she was raised and socialized”. </w:t>
      </w:r>
    </w:p>
    <w:p w14:paraId="10402C8A"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According to Fashola (2014), the concept that humans are inevitably beings-with-others is firmly ingrained in African culture as well as several other cultures worldwide. It is considered that humans are continuously in need of relationships with other humans to achieve their actual position as individuals. As a result, an individual may only be a person with the assistance of others in the community. This is because personhood is not a biological construct like ‘humanness.’ Society bestows personhood on an individual when he or she leads a genuine and responsible life. This means that an individual's personness is linked to others, and they are aware of this with inner conviction. This means that in the absence of coexistence, no single individual has the right to claim personness (</w:t>
      </w:r>
      <w:proofErr w:type="spellStart"/>
      <w:r w:rsidRPr="00F71823">
        <w:rPr>
          <w:rFonts w:ascii="Times New Roman" w:hAnsi="Times New Roman" w:cs="Times New Roman"/>
          <w:sz w:val="22"/>
          <w:szCs w:val="22"/>
        </w:rPr>
        <w:t>Menkiti</w:t>
      </w:r>
      <w:proofErr w:type="spellEnd"/>
      <w:r w:rsidRPr="00F71823">
        <w:rPr>
          <w:rFonts w:ascii="Times New Roman" w:hAnsi="Times New Roman" w:cs="Times New Roman"/>
          <w:sz w:val="22"/>
          <w:szCs w:val="22"/>
        </w:rPr>
        <w:t xml:space="preserve">, 2004). As a result, being human entails being identified with others.  </w:t>
      </w:r>
    </w:p>
    <w:p w14:paraId="08F974D7" w14:textId="77777777" w:rsidR="006B32D2" w:rsidRPr="00F71823" w:rsidRDefault="00000000">
      <w:pPr>
        <w:autoSpaceDE w:val="0"/>
        <w:autoSpaceDN w:val="0"/>
        <w:adjustRightInd w:val="0"/>
        <w:spacing w:before="100" w:beforeAutospacing="1" w:after="0" w:line="480" w:lineRule="auto"/>
        <w:rPr>
          <w:rFonts w:ascii="Times New Roman" w:hAnsi="Times New Roman" w:cs="Times New Roman"/>
          <w:b/>
          <w:bCs/>
          <w:sz w:val="22"/>
          <w:szCs w:val="22"/>
        </w:rPr>
      </w:pPr>
      <w:r w:rsidRPr="00F71823">
        <w:rPr>
          <w:rFonts w:ascii="Times New Roman" w:hAnsi="Times New Roman" w:cs="Times New Roman"/>
          <w:b/>
          <w:bCs/>
          <w:sz w:val="22"/>
          <w:szCs w:val="22"/>
        </w:rPr>
        <w:lastRenderedPageBreak/>
        <w:t>African Ontology and the Necessity for Communal life</w:t>
      </w:r>
    </w:p>
    <w:p w14:paraId="65041340"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Social beings are continuously interacting with one another. This is because, in </w:t>
      </w:r>
      <w:proofErr w:type="gramStart"/>
      <w:r w:rsidRPr="00F71823">
        <w:rPr>
          <w:rFonts w:ascii="Times New Roman" w:hAnsi="Times New Roman" w:cs="Times New Roman"/>
          <w:sz w:val="22"/>
          <w:szCs w:val="22"/>
        </w:rPr>
        <w:t>a society</w:t>
      </w:r>
      <w:proofErr w:type="gramEnd"/>
      <w:r w:rsidRPr="00F71823">
        <w:rPr>
          <w:rFonts w:ascii="Times New Roman" w:hAnsi="Times New Roman" w:cs="Times New Roman"/>
          <w:sz w:val="22"/>
          <w:szCs w:val="22"/>
        </w:rPr>
        <w:t xml:space="preserve">, communal desire is formed by a combination of individual interests, and when an individual's desire conflicts with other people's, the collective desire prevails. Individual behavior has an impact on everyone around them, beginning with family and friends. In addition, families have an impact on other members of the community. For example, when a mother faces some difficult challenges in the family, she sometimes responds by transferring her feelings to other family members. It is not uncommon for this frustration to spread beyond the family and onto </w:t>
      </w:r>
      <w:proofErr w:type="gramStart"/>
      <w:r w:rsidRPr="00F71823">
        <w:rPr>
          <w:rFonts w:ascii="Times New Roman" w:hAnsi="Times New Roman" w:cs="Times New Roman"/>
          <w:sz w:val="22"/>
          <w:szCs w:val="22"/>
        </w:rPr>
        <w:t>society as a whole</w:t>
      </w:r>
      <w:proofErr w:type="gramEnd"/>
      <w:r w:rsidRPr="00F71823">
        <w:rPr>
          <w:rFonts w:ascii="Times New Roman" w:hAnsi="Times New Roman" w:cs="Times New Roman"/>
          <w:sz w:val="22"/>
          <w:szCs w:val="22"/>
        </w:rPr>
        <w:t xml:space="preserve">. Given the interconnectedness of entities, it is unlikely for a significant change in one zone to take place and not </w:t>
      </w:r>
      <w:proofErr w:type="gramStart"/>
      <w:r w:rsidRPr="00F71823">
        <w:rPr>
          <w:rFonts w:ascii="Times New Roman" w:hAnsi="Times New Roman" w:cs="Times New Roman"/>
          <w:sz w:val="22"/>
          <w:szCs w:val="22"/>
        </w:rPr>
        <w:t>have an effect on</w:t>
      </w:r>
      <w:proofErr w:type="gramEnd"/>
      <w:r w:rsidRPr="00F71823">
        <w:rPr>
          <w:rFonts w:ascii="Times New Roman" w:hAnsi="Times New Roman" w:cs="Times New Roman"/>
          <w:sz w:val="22"/>
          <w:szCs w:val="22"/>
        </w:rPr>
        <w:t xml:space="preserve"> other regions that infringe on it. Let us consider a family in which the guardians have separated. One could rightly imagine that divorce will affect children, who will then spread the effects to their classmates, potentially influencing </w:t>
      </w:r>
      <w:proofErr w:type="gramStart"/>
      <w:r w:rsidRPr="00F71823">
        <w:rPr>
          <w:rFonts w:ascii="Times New Roman" w:hAnsi="Times New Roman" w:cs="Times New Roman"/>
          <w:sz w:val="22"/>
          <w:szCs w:val="22"/>
        </w:rPr>
        <w:t>society as a whole</w:t>
      </w:r>
      <w:proofErr w:type="gramEnd"/>
      <w:r w:rsidRPr="00F71823">
        <w:rPr>
          <w:rFonts w:ascii="Times New Roman" w:hAnsi="Times New Roman" w:cs="Times New Roman"/>
          <w:sz w:val="22"/>
          <w:szCs w:val="22"/>
        </w:rPr>
        <w:t>.</w:t>
      </w:r>
    </w:p>
    <w:p w14:paraId="68637276"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Senghor (1966) believed that "the whole universe is a network of life forces" and this is why beings necessarily engage with other beings in a manner through which vital forces are benevolently shared or communicated with one another. According to Aquinas, when beings interact, they both complete </w:t>
      </w:r>
      <w:proofErr w:type="gramStart"/>
      <w:r w:rsidRPr="00F71823">
        <w:rPr>
          <w:rFonts w:ascii="Times New Roman" w:hAnsi="Times New Roman" w:cs="Times New Roman"/>
          <w:sz w:val="22"/>
          <w:szCs w:val="22"/>
        </w:rPr>
        <w:t>or</w:t>
      </w:r>
      <w:proofErr w:type="gramEnd"/>
      <w:r w:rsidRPr="00F71823">
        <w:rPr>
          <w:rFonts w:ascii="Times New Roman" w:hAnsi="Times New Roman" w:cs="Times New Roman"/>
          <w:sz w:val="22"/>
          <w:szCs w:val="22"/>
        </w:rPr>
        <w:t xml:space="preserve"> improve the beingness of others as well as themselves in the process. He feels that the universe is sustained by the collective interaction of social beings and that God took the initiative to make this happen because it is God's very nature to naturally share His love. There is a chance that interactions between entities will either increase or decrease force. In other words, some beings act malevolently. They do not simply share their vital forces as found in one candle lighting up another without its flame diminishing, these malevolent forces appropriate the forces of their victims leading to a diminution.</w:t>
      </w:r>
    </w:p>
    <w:p w14:paraId="4A2B0E81"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A community is an assembly of parts that work harmoniously together to achieve a shared goal. This makes it </w:t>
      </w:r>
      <w:proofErr w:type="gramStart"/>
      <w:r w:rsidRPr="00F71823">
        <w:rPr>
          <w:rFonts w:ascii="Times New Roman" w:hAnsi="Times New Roman" w:cs="Times New Roman"/>
          <w:sz w:val="22"/>
          <w:szCs w:val="22"/>
        </w:rPr>
        <w:t>similar to</w:t>
      </w:r>
      <w:proofErr w:type="gramEnd"/>
      <w:r w:rsidRPr="00F71823">
        <w:rPr>
          <w:rFonts w:ascii="Times New Roman" w:hAnsi="Times New Roman" w:cs="Times New Roman"/>
          <w:sz w:val="22"/>
          <w:szCs w:val="22"/>
        </w:rPr>
        <w:t xml:space="preserve"> Aquinas' idea of the life of beings, which holds that the essential principles of exchange, cooperation, coexistence, togetherness, and inter-subjectivity are what make a community. This highlights Fashola and Abiodun’s (2021) claim on the metaphysical meaning of hair in Africa. They hold that a </w:t>
      </w:r>
      <w:r w:rsidRPr="00F71823">
        <w:rPr>
          <w:rFonts w:ascii="Times New Roman" w:hAnsi="Times New Roman" w:cs="Times New Roman"/>
          <w:sz w:val="22"/>
          <w:szCs w:val="22"/>
        </w:rPr>
        <w:lastRenderedPageBreak/>
        <w:t>person's hair, particularly that of a woman, is the covering of the head (</w:t>
      </w:r>
      <w:proofErr w:type="spellStart"/>
      <w:r w:rsidRPr="00F71823">
        <w:rPr>
          <w:rFonts w:ascii="Times New Roman" w:hAnsi="Times New Roman" w:cs="Times New Roman"/>
          <w:sz w:val="22"/>
          <w:szCs w:val="22"/>
        </w:rPr>
        <w:t>ori</w:t>
      </w:r>
      <w:proofErr w:type="spellEnd"/>
      <w:r w:rsidRPr="00F71823">
        <w:rPr>
          <w:rFonts w:ascii="Times New Roman" w:hAnsi="Times New Roman" w:cs="Times New Roman"/>
          <w:sz w:val="22"/>
          <w:szCs w:val="22"/>
        </w:rPr>
        <w:t xml:space="preserve">), which in Yoruba tradition is the bearer of destiny. They continued by saying that respect for the hair is respect for the head. This idea was derived from the Yoruba culture in Nigeria, where those who plait hair for members of the public do so out of social duty and ceremony rather than in exchange for payment. Since good deeds tend to be reciprocated, it is thought that this service is essential for maintaining societal harmony. Because of this, asking someone else to repay the courtesy without asking for payment is simple. This behavior encourages intersubjectivity, which makes a person more susceptible to influence and affect others. The metaphysical notion that the head is the bearer of </w:t>
      </w:r>
      <w:proofErr w:type="gramStart"/>
      <w:r w:rsidRPr="00F71823">
        <w:rPr>
          <w:rFonts w:ascii="Times New Roman" w:hAnsi="Times New Roman" w:cs="Times New Roman"/>
          <w:sz w:val="22"/>
          <w:szCs w:val="22"/>
        </w:rPr>
        <w:t>destiny</w:t>
      </w:r>
      <w:proofErr w:type="gramEnd"/>
      <w:r w:rsidRPr="00F71823">
        <w:rPr>
          <w:rFonts w:ascii="Times New Roman" w:hAnsi="Times New Roman" w:cs="Times New Roman"/>
          <w:sz w:val="22"/>
          <w:szCs w:val="22"/>
        </w:rPr>
        <w:t xml:space="preserve"> and the hair is a covering for that destiny is the foundation for this inter-subjective existence.</w:t>
      </w:r>
    </w:p>
    <w:p w14:paraId="70D84B71"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One of the most significant human activities is living in a society, which is consistent with Aristotle's theory that "to live alone one must be either a beast or a god" (Flynn, 2006). Humans must live in civilizations since they are neither gods nor beasts. However, Hobbes states that anarchy would result, and the life of man would become solitary, poor, nasty, brutish, and short if there were no rules or contracts in place, which would prevent them from satisfying desires that would harm society. (Hobbes 2002).</w:t>
      </w:r>
    </w:p>
    <w:p w14:paraId="34D3336D"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It is consequently difficult to rule out social conflicts because social beings interact. These disputes typically stem from divergent viewpoints that arise from individual freedom of choice. It's also important to acknowledge that the ego plays a part in displaying injustice, intolerance, and social inequity. The allure of individualism and self-sufficiency for people whose ethics prioritize self-interest and self-sufficiency at the expense of society is not unrelated to these social vices. The survival of beings in a social environment and inter-subjectivity </w:t>
      </w:r>
      <w:proofErr w:type="gramStart"/>
      <w:r w:rsidRPr="00F71823">
        <w:rPr>
          <w:rFonts w:ascii="Times New Roman" w:hAnsi="Times New Roman" w:cs="Times New Roman"/>
          <w:sz w:val="22"/>
          <w:szCs w:val="22"/>
        </w:rPr>
        <w:t>are</w:t>
      </w:r>
      <w:proofErr w:type="gramEnd"/>
      <w:r w:rsidRPr="00F71823">
        <w:rPr>
          <w:rFonts w:ascii="Times New Roman" w:hAnsi="Times New Roman" w:cs="Times New Roman"/>
          <w:sz w:val="22"/>
          <w:szCs w:val="22"/>
        </w:rPr>
        <w:t xml:space="preserve"> greatly threatened by this.</w:t>
      </w:r>
    </w:p>
    <w:p w14:paraId="25689C5D" w14:textId="77777777" w:rsidR="006B32D2" w:rsidRPr="00F71823" w:rsidRDefault="00000000">
      <w:pPr>
        <w:spacing w:before="100" w:beforeAutospacing="1" w:after="0" w:line="480" w:lineRule="auto"/>
        <w:rPr>
          <w:rFonts w:ascii="Times New Roman" w:hAnsi="Times New Roman" w:cs="Times New Roman"/>
          <w:sz w:val="22"/>
          <w:szCs w:val="22"/>
        </w:rPr>
      </w:pPr>
      <w:r w:rsidRPr="00F71823">
        <w:rPr>
          <w:rFonts w:ascii="Times New Roman" w:hAnsi="Times New Roman" w:cs="Times New Roman"/>
          <w:b/>
          <w:sz w:val="22"/>
          <w:szCs w:val="22"/>
        </w:rPr>
        <w:t>Metaphysics of Social Order and its Democratic Nature</w:t>
      </w:r>
    </w:p>
    <w:p w14:paraId="3943655E"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Metaphysics is found to be the cornerstone of democracy, one of the social institutions that promotes equal rights of individuals for the advancement of social order. The concept of democracy encompasses more than just political groups; it also involves social alliances and the conscious effort of all parties involved to </w:t>
      </w:r>
      <w:r w:rsidRPr="00F71823">
        <w:rPr>
          <w:rFonts w:ascii="Times New Roman" w:hAnsi="Times New Roman" w:cs="Times New Roman"/>
          <w:sz w:val="22"/>
          <w:szCs w:val="22"/>
        </w:rPr>
        <w:lastRenderedPageBreak/>
        <w:t xml:space="preserve">promote the advancement of social welfare. It is a way of living in society since it is ingrained </w:t>
      </w:r>
      <w:proofErr w:type="gramStart"/>
      <w:r w:rsidRPr="00F71823">
        <w:rPr>
          <w:rFonts w:ascii="Times New Roman" w:hAnsi="Times New Roman" w:cs="Times New Roman"/>
          <w:sz w:val="22"/>
          <w:szCs w:val="22"/>
        </w:rPr>
        <w:t>in</w:t>
      </w:r>
      <w:proofErr w:type="gramEnd"/>
      <w:r w:rsidRPr="00F71823">
        <w:rPr>
          <w:rFonts w:ascii="Times New Roman" w:hAnsi="Times New Roman" w:cs="Times New Roman"/>
          <w:sz w:val="22"/>
          <w:szCs w:val="22"/>
        </w:rPr>
        <w:t xml:space="preserve"> people's lives and lifestyles rather than existing independently like in a political organisation. Concord, not cohesion, is the foundation of democracy. It is a general concept where people work together instead of going against each other. It is also a general system wherein people are endeavoring to help instead of taking advantage </w:t>
      </w:r>
      <w:proofErr w:type="gramStart"/>
      <w:r w:rsidRPr="00F71823">
        <w:rPr>
          <w:rFonts w:ascii="Times New Roman" w:hAnsi="Times New Roman" w:cs="Times New Roman"/>
          <w:sz w:val="22"/>
          <w:szCs w:val="22"/>
        </w:rPr>
        <w:t>of the other</w:t>
      </w:r>
      <w:proofErr w:type="gramEnd"/>
      <w:r w:rsidRPr="00F71823">
        <w:rPr>
          <w:rFonts w:ascii="Times New Roman" w:hAnsi="Times New Roman" w:cs="Times New Roman"/>
          <w:sz w:val="22"/>
          <w:szCs w:val="22"/>
        </w:rPr>
        <w:t xml:space="preserve">. It is a society where </w:t>
      </w:r>
      <w:proofErr w:type="gramStart"/>
      <w:r w:rsidRPr="00F71823">
        <w:rPr>
          <w:rFonts w:ascii="Times New Roman" w:hAnsi="Times New Roman" w:cs="Times New Roman"/>
          <w:sz w:val="22"/>
          <w:szCs w:val="22"/>
        </w:rPr>
        <w:t>each individual</w:t>
      </w:r>
      <w:proofErr w:type="gramEnd"/>
      <w:r w:rsidRPr="00F71823">
        <w:rPr>
          <w:rFonts w:ascii="Times New Roman" w:hAnsi="Times New Roman" w:cs="Times New Roman"/>
          <w:sz w:val="22"/>
          <w:szCs w:val="22"/>
        </w:rPr>
        <w:t xml:space="preserve"> is aware of the existence of the other in an inter-subjective manner (Hollingshead, 1941).</w:t>
      </w:r>
    </w:p>
    <w:p w14:paraId="699488DC"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Democracy, the system in which the majority rules, is generally thought to have originated in Greece, although it is known that Africans used it long before they encountered the West. African societies have historically selected leaders like chiefs and clan heads primarily based on wealth or age, but occasionally, voters select their favorite candidate by placing a pebble at their feet; the candidate with the most stones wins. A democratic approach has also been used to resolve disputes; in this system, elders gather to make decisions and cast votes by raising their hands to support their opinions.</w:t>
      </w:r>
    </w:p>
    <w:p w14:paraId="0253453B"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Abraham Lincoln defined democracy as the governance of the people, for the people, and by the people, and this is how it is most widely understood. In other words, it is a leadership choice that originates with the </w:t>
      </w:r>
      <w:proofErr w:type="gramStart"/>
      <w:r w:rsidRPr="00F71823">
        <w:rPr>
          <w:rFonts w:ascii="Times New Roman" w:hAnsi="Times New Roman" w:cs="Times New Roman"/>
          <w:sz w:val="22"/>
          <w:szCs w:val="22"/>
        </w:rPr>
        <w:t>general public</w:t>
      </w:r>
      <w:proofErr w:type="gramEnd"/>
      <w:r w:rsidRPr="00F71823">
        <w:rPr>
          <w:rFonts w:ascii="Times New Roman" w:hAnsi="Times New Roman" w:cs="Times New Roman"/>
          <w:sz w:val="22"/>
          <w:szCs w:val="22"/>
        </w:rPr>
        <w:t xml:space="preserve">, is managed by the </w:t>
      </w:r>
      <w:proofErr w:type="gramStart"/>
      <w:r w:rsidRPr="00F71823">
        <w:rPr>
          <w:rFonts w:ascii="Times New Roman" w:hAnsi="Times New Roman" w:cs="Times New Roman"/>
          <w:sz w:val="22"/>
          <w:szCs w:val="22"/>
        </w:rPr>
        <w:t>general public</w:t>
      </w:r>
      <w:proofErr w:type="gramEnd"/>
      <w:r w:rsidRPr="00F71823">
        <w:rPr>
          <w:rFonts w:ascii="Times New Roman" w:hAnsi="Times New Roman" w:cs="Times New Roman"/>
          <w:sz w:val="22"/>
          <w:szCs w:val="22"/>
        </w:rPr>
        <w:t>, and has the people's actual interest or points of view as its primary goal (Becker and Jean-Aime, 2008). Hence, democracy and the rule of the people are equivalent etymologically.</w:t>
      </w:r>
    </w:p>
    <w:p w14:paraId="4F938BB9"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Democracy is now recognized as the type of government that lends legitimacy to contemporary political activity. This is the reason that laws, regulations, and policies are seen as legitimate when they are democratic (Held, 1995). The establishment of democracy was a response to the absolute monarchy of the Kings, who imposed their personal views on the people they ruled by their status as divine rulers. "The concept of parliamentary democracy began as a popular check upon absolute monarchical rule," according to Rothbard (2009). One can see that in democratic systems, citizens value civic virtue highly and strive for a balance of interests, which is not the case with authoritarian forms of government. So, democracy is </w:t>
      </w:r>
      <w:r w:rsidRPr="00F71823">
        <w:rPr>
          <w:rFonts w:ascii="Times New Roman" w:hAnsi="Times New Roman" w:cs="Times New Roman"/>
          <w:sz w:val="22"/>
          <w:szCs w:val="22"/>
        </w:rPr>
        <w:lastRenderedPageBreak/>
        <w:t>generally conceived as the government of all people, by all people who have equal representation in government.</w:t>
      </w:r>
    </w:p>
    <w:p w14:paraId="6A642740"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A majority rule system such as democracy serves as a deterrent against those who might seek to hold onto power indefinitely for personal gain. In a democratic society, </w:t>
      </w:r>
      <w:proofErr w:type="gramStart"/>
      <w:r w:rsidRPr="00F71823">
        <w:rPr>
          <w:rFonts w:ascii="Times New Roman" w:hAnsi="Times New Roman" w:cs="Times New Roman"/>
          <w:sz w:val="22"/>
          <w:szCs w:val="22"/>
        </w:rPr>
        <w:t>persons</w:t>
      </w:r>
      <w:proofErr w:type="gramEnd"/>
      <w:r w:rsidRPr="00F71823">
        <w:rPr>
          <w:rFonts w:ascii="Times New Roman" w:hAnsi="Times New Roman" w:cs="Times New Roman"/>
          <w:sz w:val="22"/>
          <w:szCs w:val="22"/>
        </w:rPr>
        <w:t xml:space="preserve"> in power are subject to checks and balances that enable others to restrain their abuse of power or remove them from their positions of authority. In this way, power is distributed, and crises and resolution patterns are developed. According to the rules of the equitable game, it is not always associated with a particular person or group, as in the case of monarchs, but rather is practiced by </w:t>
      </w:r>
      <w:proofErr w:type="gramStart"/>
      <w:r w:rsidRPr="00F71823">
        <w:rPr>
          <w:rFonts w:ascii="Times New Roman" w:hAnsi="Times New Roman" w:cs="Times New Roman"/>
          <w:sz w:val="22"/>
          <w:szCs w:val="22"/>
        </w:rPr>
        <w:t>persons</w:t>
      </w:r>
      <w:proofErr w:type="gramEnd"/>
      <w:r w:rsidRPr="00F71823">
        <w:rPr>
          <w:rFonts w:ascii="Times New Roman" w:hAnsi="Times New Roman" w:cs="Times New Roman"/>
          <w:sz w:val="22"/>
          <w:szCs w:val="22"/>
        </w:rPr>
        <w:t xml:space="preserve"> who are subject to eviction and accountable to others (Norberto, 1989).</w:t>
      </w:r>
    </w:p>
    <w:p w14:paraId="1F42BA70"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The democratic system's fundamental component of deliberation is </w:t>
      </w:r>
      <w:proofErr w:type="gramStart"/>
      <w:r w:rsidRPr="00F71823">
        <w:rPr>
          <w:rFonts w:ascii="Times New Roman" w:hAnsi="Times New Roman" w:cs="Times New Roman"/>
          <w:sz w:val="22"/>
          <w:szCs w:val="22"/>
        </w:rPr>
        <w:t>actually what</w:t>
      </w:r>
      <w:proofErr w:type="gramEnd"/>
      <w:r w:rsidRPr="00F71823">
        <w:rPr>
          <w:rFonts w:ascii="Times New Roman" w:hAnsi="Times New Roman" w:cs="Times New Roman"/>
          <w:sz w:val="22"/>
          <w:szCs w:val="22"/>
        </w:rPr>
        <w:t xml:space="preserve"> gives it its inter-subjective nature. This demonstrates that voting in representatives is not the only aspect of democracy. It is focused on issues related to how society is organized. The notion that the democratic system is of the people only when voting takes place is one of the errors of traditional democratic philosophy. Democracies undoubtedly include more than just voting.</w:t>
      </w:r>
    </w:p>
    <w:p w14:paraId="5DF71BA6"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The factors that affect election outcomes vary from one election to the next, and citizen debate about politics influences how important these concerns are to one another. In addition, voters are more engaged in how they can support their families and give their children the education they need than in how they can vote on election days. Leaders converse with one another as much as humans do when they are connected. By no means are these two schools of thought separate from one another; rather, they complement one another. For example, conversations held in Congress or the Parliament are more than just ideas shared by political entities; they are regular interactions predicated on popular views and other factors (Thom, 2009).</w:t>
      </w:r>
    </w:p>
    <w:p w14:paraId="6BEC9BA6"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Based on the </w:t>
      </w:r>
      <w:proofErr w:type="gramStart"/>
      <w:r w:rsidRPr="00F71823">
        <w:rPr>
          <w:rFonts w:ascii="Times New Roman" w:hAnsi="Times New Roman" w:cs="Times New Roman"/>
          <w:sz w:val="22"/>
          <w:szCs w:val="22"/>
        </w:rPr>
        <w:t>aforementioned approach</w:t>
      </w:r>
      <w:proofErr w:type="gramEnd"/>
      <w:r w:rsidRPr="00F71823">
        <w:rPr>
          <w:rFonts w:ascii="Times New Roman" w:hAnsi="Times New Roman" w:cs="Times New Roman"/>
          <w:sz w:val="22"/>
          <w:szCs w:val="22"/>
        </w:rPr>
        <w:t xml:space="preserve">, democracy can be understood as a social construct that ultimately has metaphysical roots. This is true because the idea of inalienable rights is the basis of democracy. This implies that democracy is impossible without the acceptance of human rights. Since these rights are inherent </w:t>
      </w:r>
      <w:r w:rsidRPr="00F71823">
        <w:rPr>
          <w:rFonts w:ascii="Times New Roman" w:hAnsi="Times New Roman" w:cs="Times New Roman"/>
          <w:sz w:val="22"/>
          <w:szCs w:val="22"/>
        </w:rPr>
        <w:lastRenderedPageBreak/>
        <w:t>to us and cannot be acquired by anyone else, they are referred to as inalienable. These were essentially with us before we were born. An easier way to understand the metaphysics of society is to think about the democratic components that promote intersubjectivity and communication. These components support social order and have their roots in African ontology.</w:t>
      </w:r>
    </w:p>
    <w:p w14:paraId="6F1C222B" w14:textId="77777777" w:rsidR="006B32D2" w:rsidRPr="00F71823" w:rsidRDefault="006B32D2">
      <w:pPr>
        <w:spacing w:line="480" w:lineRule="auto"/>
        <w:jc w:val="both"/>
        <w:rPr>
          <w:rFonts w:ascii="Times New Roman" w:hAnsi="Times New Roman" w:cs="Times New Roman"/>
          <w:sz w:val="22"/>
          <w:szCs w:val="22"/>
        </w:rPr>
      </w:pPr>
    </w:p>
    <w:p w14:paraId="2557B6FF" w14:textId="77777777" w:rsidR="006B32D2" w:rsidRPr="00F71823" w:rsidRDefault="00000000">
      <w:pPr>
        <w:spacing w:before="100" w:beforeAutospacing="1" w:after="0" w:line="480" w:lineRule="auto"/>
        <w:rPr>
          <w:rFonts w:ascii="Times New Roman" w:hAnsi="Times New Roman" w:cs="Times New Roman"/>
          <w:b/>
          <w:sz w:val="22"/>
          <w:szCs w:val="22"/>
        </w:rPr>
      </w:pPr>
      <w:r w:rsidRPr="00F71823">
        <w:rPr>
          <w:rFonts w:ascii="Times New Roman" w:hAnsi="Times New Roman" w:cs="Times New Roman"/>
          <w:b/>
          <w:sz w:val="22"/>
          <w:szCs w:val="22"/>
        </w:rPr>
        <w:t>Being as a Metaphysical Concept</w:t>
      </w:r>
    </w:p>
    <w:p w14:paraId="3114135A"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Metaphysics is concerned with comprehending the concept of being, an ultimate reality that exists in and of itself. </w:t>
      </w:r>
      <w:proofErr w:type="gramStart"/>
      <w:r w:rsidRPr="00F71823">
        <w:rPr>
          <w:rFonts w:ascii="Times New Roman" w:hAnsi="Times New Roman" w:cs="Times New Roman"/>
          <w:sz w:val="22"/>
          <w:szCs w:val="22"/>
        </w:rPr>
        <w:t>Being can be</w:t>
      </w:r>
      <w:proofErr w:type="gramEnd"/>
      <w:r w:rsidRPr="00F71823">
        <w:rPr>
          <w:rFonts w:ascii="Times New Roman" w:hAnsi="Times New Roman" w:cs="Times New Roman"/>
          <w:sz w:val="22"/>
          <w:szCs w:val="22"/>
        </w:rPr>
        <w:t xml:space="preserve"> defined as both an animating principle and an existential category. This paradox is explained by the concepts of being a 'life force' and an 'entity'. In this dichotomy, the life force animates the being in such a way that it is recognized simply for being animated. In other words, the creature serves no purpose outside of its animation. For this reason, idealists such as Plato and Leibniz reject the substantiality of bodies in favor of the monadic being or metaphysical principle in things.</w:t>
      </w:r>
    </w:p>
    <w:p w14:paraId="6A373ECE"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Although a being is made up of principles that are vital to its genuine existence, it is not true that these principles are not equally present in all things. This is so because a being's status or place is determined by its potential life force and standard of excellence to the ultimate Being. It is also true that a being's perfection and power </w:t>
      </w:r>
      <w:proofErr w:type="gramStart"/>
      <w:r w:rsidRPr="00F71823">
        <w:rPr>
          <w:rFonts w:ascii="Times New Roman" w:hAnsi="Times New Roman" w:cs="Times New Roman"/>
          <w:sz w:val="22"/>
          <w:szCs w:val="22"/>
        </w:rPr>
        <w:t>increase</w:t>
      </w:r>
      <w:proofErr w:type="gramEnd"/>
      <w:r w:rsidRPr="00F71823">
        <w:rPr>
          <w:rFonts w:ascii="Times New Roman" w:hAnsi="Times New Roman" w:cs="Times New Roman"/>
          <w:sz w:val="22"/>
          <w:szCs w:val="22"/>
        </w:rPr>
        <w:t xml:space="preserve"> with its proximity to the ultimate Being.</w:t>
      </w:r>
    </w:p>
    <w:p w14:paraId="6471603E"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In African ontology, there are two categories for being, and then there are two more categories for the second category. The first is called the self-creating group and the second is known as the created being. The first class is occupied by God, who is the creator, limitless, eternal, uncaused, and fundamentally or absolutely an existing entity. It is acknowledged that the second group consists of contingent and finite beings who depend on God to survive.</w:t>
      </w:r>
    </w:p>
    <w:p w14:paraId="6C860A94"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It is well acknowledged that God is the highest being in the order of things. This collection of limited entities is further divided into two realms: the corporeal realm is thought to be inhabited by humans (apart from the soul), animals, plants, and minerals, while the metaphysical realm is thought to be inhabited by </w:t>
      </w:r>
      <w:r w:rsidRPr="00F71823">
        <w:rPr>
          <w:rFonts w:ascii="Times New Roman" w:hAnsi="Times New Roman" w:cs="Times New Roman"/>
          <w:sz w:val="22"/>
          <w:szCs w:val="22"/>
        </w:rPr>
        <w:lastRenderedPageBreak/>
        <w:t>angels, divinities, or deities (including ancestors). Since the soul is not a part of the material world, it is thought that it returns to the metaphysical realm after the body disintegrates upon death.</w:t>
      </w:r>
    </w:p>
    <w:p w14:paraId="6D50CAB8" w14:textId="77777777" w:rsidR="006B32D2" w:rsidRPr="00F71823" w:rsidRDefault="00000000">
      <w:pPr>
        <w:spacing w:line="480" w:lineRule="auto"/>
        <w:jc w:val="both"/>
        <w:rPr>
          <w:rFonts w:ascii="Times New Roman" w:hAnsi="Times New Roman" w:cs="Times New Roman"/>
          <w:sz w:val="22"/>
          <w:szCs w:val="22"/>
        </w:rPr>
      </w:pPr>
      <w:proofErr w:type="spellStart"/>
      <w:r w:rsidRPr="00F71823">
        <w:rPr>
          <w:rFonts w:ascii="Times New Roman" w:hAnsi="Times New Roman" w:cs="Times New Roman"/>
          <w:sz w:val="22"/>
          <w:szCs w:val="22"/>
        </w:rPr>
        <w:t>Tempels</w:t>
      </w:r>
      <w:proofErr w:type="spellEnd"/>
      <w:r w:rsidRPr="00F71823">
        <w:rPr>
          <w:rFonts w:ascii="Times New Roman" w:hAnsi="Times New Roman" w:cs="Times New Roman"/>
          <w:sz w:val="22"/>
          <w:szCs w:val="22"/>
        </w:rPr>
        <w:t xml:space="preserve"> (1959) holds that “all being is force… God, men, living and the departed, animals, plants, minerals” are all forces. According to </w:t>
      </w:r>
      <w:proofErr w:type="spellStart"/>
      <w:r w:rsidRPr="00F71823">
        <w:rPr>
          <w:rFonts w:ascii="Times New Roman" w:hAnsi="Times New Roman" w:cs="Times New Roman"/>
          <w:sz w:val="22"/>
          <w:szCs w:val="22"/>
        </w:rPr>
        <w:t>Tempels</w:t>
      </w:r>
      <w:proofErr w:type="spellEnd"/>
      <w:r w:rsidRPr="00F71823">
        <w:rPr>
          <w:rFonts w:ascii="Times New Roman" w:hAnsi="Times New Roman" w:cs="Times New Roman"/>
          <w:sz w:val="22"/>
          <w:szCs w:val="22"/>
        </w:rPr>
        <w:t xml:space="preserve"> (1959), the Bantu remark, "We never speak of the 'force of life,' because with us life and force are one, and the same thing." Therefore, to be </w:t>
      </w:r>
      <w:proofErr w:type="gramStart"/>
      <w:r w:rsidRPr="00F71823">
        <w:rPr>
          <w:rFonts w:ascii="Times New Roman" w:hAnsi="Times New Roman" w:cs="Times New Roman"/>
          <w:sz w:val="22"/>
          <w:szCs w:val="22"/>
        </w:rPr>
        <w:t>endued</w:t>
      </w:r>
      <w:proofErr w:type="gramEnd"/>
      <w:r w:rsidRPr="00F71823">
        <w:rPr>
          <w:rFonts w:ascii="Times New Roman" w:hAnsi="Times New Roman" w:cs="Times New Roman"/>
          <w:sz w:val="22"/>
          <w:szCs w:val="22"/>
        </w:rPr>
        <w:t xml:space="preserve"> with force is also to be </w:t>
      </w:r>
      <w:proofErr w:type="gramStart"/>
      <w:r w:rsidRPr="00F71823">
        <w:rPr>
          <w:rFonts w:ascii="Times New Roman" w:hAnsi="Times New Roman" w:cs="Times New Roman"/>
          <w:sz w:val="22"/>
          <w:szCs w:val="22"/>
        </w:rPr>
        <w:t>endued</w:t>
      </w:r>
      <w:proofErr w:type="gramEnd"/>
      <w:r w:rsidRPr="00F71823">
        <w:rPr>
          <w:rFonts w:ascii="Times New Roman" w:hAnsi="Times New Roman" w:cs="Times New Roman"/>
          <w:sz w:val="22"/>
          <w:szCs w:val="22"/>
        </w:rPr>
        <w:t xml:space="preserve"> with life. Stated differently, they never discuss the being of life because life and being are one. The terms "force" and </w:t>
      </w:r>
      <w:proofErr w:type="gramStart"/>
      <w:r w:rsidRPr="00F71823">
        <w:rPr>
          <w:rFonts w:ascii="Times New Roman" w:hAnsi="Times New Roman" w:cs="Times New Roman"/>
          <w:sz w:val="22"/>
          <w:szCs w:val="22"/>
        </w:rPr>
        <w:t>"being" can be</w:t>
      </w:r>
      <w:proofErr w:type="gramEnd"/>
      <w:r w:rsidRPr="00F71823">
        <w:rPr>
          <w:rFonts w:ascii="Times New Roman" w:hAnsi="Times New Roman" w:cs="Times New Roman"/>
          <w:sz w:val="22"/>
          <w:szCs w:val="22"/>
        </w:rPr>
        <w:t xml:space="preserve"> employed in both specific and general contexts. For instance, humans and this </w:t>
      </w:r>
      <w:proofErr w:type="gramStart"/>
      <w:r w:rsidRPr="00F71823">
        <w:rPr>
          <w:rFonts w:ascii="Times New Roman" w:hAnsi="Times New Roman" w:cs="Times New Roman"/>
          <w:sz w:val="22"/>
          <w:szCs w:val="22"/>
        </w:rPr>
        <w:t>particular human</w:t>
      </w:r>
      <w:proofErr w:type="gramEnd"/>
      <w:r w:rsidRPr="00F71823">
        <w:rPr>
          <w:rFonts w:ascii="Times New Roman" w:hAnsi="Times New Roman" w:cs="Times New Roman"/>
          <w:sz w:val="22"/>
          <w:szCs w:val="22"/>
        </w:rPr>
        <w:t>, "Akin," are both beings. In the same way that many bird species are beings, birds themselves are beings. In the same manner that a certain mango tree is a being, so are trees and animals, like goats. Like Aquinas, the Bantu people believe that force is an absolute, fundamental, and supernatural idea. It is associated with anything alive, regardless of its place in the hierarchy of forces. The term "being" also refers to the supernatural aspect of actual, tangible objects.</w:t>
      </w:r>
    </w:p>
    <w:p w14:paraId="4F7DF7E5"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According to Aquinas, "the human soul is subsistent: that it continues to exist after separating from the body in death, unlike the souls of plants and beasts" (Eleonore, 2003). According to Parmenides, being is one, everlasting, and unchanging, which implies that anything that changes is not being. Being does not change ontologically and non-being does not exist, this is why Leibniz characterizes the monad as windowless and self-actuating. According to Aquinas, every living thing in the cosmos has a purpose and does not exist by accident. He thinks that humans are here to make the universe flawless. Hence, the universe descends into chaos when a being deviates from its purpose. For this reason, bodies or </w:t>
      </w:r>
      <w:proofErr w:type="gramStart"/>
      <w:r w:rsidRPr="00F71823">
        <w:rPr>
          <w:rFonts w:ascii="Times New Roman" w:hAnsi="Times New Roman" w:cs="Times New Roman"/>
          <w:sz w:val="22"/>
          <w:szCs w:val="22"/>
        </w:rPr>
        <w:t>substance</w:t>
      </w:r>
      <w:proofErr w:type="gramEnd"/>
      <w:r w:rsidRPr="00F71823">
        <w:rPr>
          <w:rFonts w:ascii="Times New Roman" w:hAnsi="Times New Roman" w:cs="Times New Roman"/>
          <w:sz w:val="22"/>
          <w:szCs w:val="22"/>
        </w:rPr>
        <w:t xml:space="preserve"> will always occupy their places in the metaphysical space.</w:t>
      </w:r>
    </w:p>
    <w:p w14:paraId="2E9BDA31"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Matter does not vanish as it breaks down or disintegrates. Anything that comes into being cannot disappear since it was always there in the first place. This is Plato's explanation for the soul's eternal existence. This is why it is problematic that Plato and Leibniz rejected the substantiality and eternity of matter. It would be ludicrous to believe that matter will ever cease to exist once it has begun to exist. The only condition if at all </w:t>
      </w:r>
      <w:proofErr w:type="gramStart"/>
      <w:r w:rsidRPr="00F71823">
        <w:rPr>
          <w:rFonts w:ascii="Times New Roman" w:hAnsi="Times New Roman" w:cs="Times New Roman"/>
          <w:sz w:val="22"/>
          <w:szCs w:val="22"/>
        </w:rPr>
        <w:t>matter</w:t>
      </w:r>
      <w:proofErr w:type="gramEnd"/>
      <w:r w:rsidRPr="00F71823">
        <w:rPr>
          <w:rFonts w:ascii="Times New Roman" w:hAnsi="Times New Roman" w:cs="Times New Roman"/>
          <w:sz w:val="22"/>
          <w:szCs w:val="22"/>
        </w:rPr>
        <w:t xml:space="preserve"> can go out of existence is the time souls can go out of existence. And according to Leibniz, this </w:t>
      </w:r>
      <w:r w:rsidRPr="00F71823">
        <w:rPr>
          <w:rFonts w:ascii="Times New Roman" w:hAnsi="Times New Roman" w:cs="Times New Roman"/>
          <w:sz w:val="22"/>
          <w:szCs w:val="22"/>
        </w:rPr>
        <w:lastRenderedPageBreak/>
        <w:t>can only happen by annihilation or total dissolution of the universe by God. Thus, no disintegration is to be dreaded for them, and a non-aggregate substance cannot die in any possible way. For a similar reason, no simple substance comes into existence naturally, since it cannot be framed piece by piece.</w:t>
      </w:r>
    </w:p>
    <w:p w14:paraId="2C0E6703"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"There is nothing dead, nothing inert in the universe," as asserted Wildon (1926). </w:t>
      </w:r>
      <w:proofErr w:type="gramStart"/>
      <w:r w:rsidRPr="00F71823">
        <w:rPr>
          <w:rFonts w:ascii="Times New Roman" w:hAnsi="Times New Roman" w:cs="Times New Roman"/>
          <w:sz w:val="22"/>
          <w:szCs w:val="22"/>
        </w:rPr>
        <w:t>Being that is</w:t>
      </w:r>
      <w:proofErr w:type="gramEnd"/>
      <w:r w:rsidRPr="00F71823">
        <w:rPr>
          <w:rFonts w:ascii="Times New Roman" w:hAnsi="Times New Roman" w:cs="Times New Roman"/>
          <w:sz w:val="22"/>
          <w:szCs w:val="22"/>
        </w:rPr>
        <w:t xml:space="preserve"> completely dead is not being in the first place. Because they are invisible, people may believe that air bubbles trapped in bottles of water do not exist, however, this is untrue. Its existence can only come to an end when the bottle breaks, which would result in the water, the bobbles, and the bottle itself being destroyed. This is the complete annihilation that Leibniz described. Aristotle's explanation of Act and Potency, along with Form and Matter, </w:t>
      </w:r>
      <w:proofErr w:type="gramStart"/>
      <w:r w:rsidRPr="00F71823">
        <w:rPr>
          <w:rFonts w:ascii="Times New Roman" w:hAnsi="Times New Roman" w:cs="Times New Roman"/>
          <w:sz w:val="22"/>
          <w:szCs w:val="22"/>
        </w:rPr>
        <w:t>give</w:t>
      </w:r>
      <w:proofErr w:type="gramEnd"/>
      <w:r w:rsidRPr="00F71823">
        <w:rPr>
          <w:rFonts w:ascii="Times New Roman" w:hAnsi="Times New Roman" w:cs="Times New Roman"/>
          <w:sz w:val="22"/>
          <w:szCs w:val="22"/>
        </w:rPr>
        <w:t xml:space="preserve"> credence to this claim. Liquids that vaporize in the presence of heat have not stopped existing; rather, they have just taken on a different form. This is the reason every act is in the potency of becoming.   </w:t>
      </w:r>
    </w:p>
    <w:p w14:paraId="3F92B66E" w14:textId="77777777" w:rsidR="006B32D2" w:rsidRPr="00F71823" w:rsidRDefault="00000000">
      <w:pPr>
        <w:spacing w:before="100" w:beforeAutospacing="1" w:after="0" w:line="480" w:lineRule="auto"/>
        <w:jc w:val="both"/>
        <w:rPr>
          <w:rFonts w:ascii="Times New Roman" w:hAnsi="Times New Roman" w:cs="Times New Roman"/>
          <w:b/>
          <w:bCs/>
          <w:sz w:val="22"/>
          <w:szCs w:val="22"/>
        </w:rPr>
      </w:pPr>
      <w:r w:rsidRPr="00F71823">
        <w:rPr>
          <w:rFonts w:ascii="Times New Roman" w:hAnsi="Times New Roman" w:cs="Times New Roman"/>
          <w:b/>
          <w:bCs/>
          <w:iCs/>
          <w:sz w:val="22"/>
          <w:szCs w:val="22"/>
        </w:rPr>
        <w:t>Social Order in African Metaphysics</w:t>
      </w:r>
    </w:p>
    <w:p w14:paraId="7A6D79B7" w14:textId="77777777" w:rsidR="006B32D2" w:rsidRPr="00F71823" w:rsidRDefault="00000000">
      <w:pPr>
        <w:spacing w:line="480" w:lineRule="auto"/>
        <w:jc w:val="both"/>
        <w:rPr>
          <w:rFonts w:ascii="Times New Roman" w:hAnsi="Times New Roman" w:cs="Times New Roman"/>
          <w:sz w:val="22"/>
          <w:szCs w:val="22"/>
        </w:rPr>
      </w:pPr>
      <w:r w:rsidRPr="00F71823">
        <w:rPr>
          <w:rFonts w:ascii="Times New Roman" w:hAnsi="Times New Roman" w:cs="Times New Roman"/>
          <w:sz w:val="22"/>
          <w:szCs w:val="22"/>
        </w:rPr>
        <w:t>The central tenet of African metaphysics is the advancement of societal order. This study discovered that human interactions are both physical and metaphysical in nature and that people are naturally communal beings who cannot survive in solitude. It was discovered that social disputes might arise from an inverse relationship between "I" and "them." Additionally, it demonstrated how African metaphysics supports the values of caring for future generations and hierarchical thinking, both of which foster peaceful cohabitation. The following is an analysis of these findings:</w:t>
      </w:r>
    </w:p>
    <w:p w14:paraId="54E366ED" w14:textId="77777777" w:rsidR="006B32D2" w:rsidRPr="00F71823" w:rsidRDefault="00000000">
      <w:pPr>
        <w:spacing w:after="0" w:line="480" w:lineRule="auto"/>
        <w:jc w:val="both"/>
        <w:rPr>
          <w:rFonts w:ascii="Times New Roman" w:hAnsi="Times New Roman" w:cs="Times New Roman"/>
          <w:b/>
          <w:bCs/>
          <w:iCs/>
          <w:sz w:val="22"/>
          <w:szCs w:val="22"/>
        </w:rPr>
      </w:pPr>
      <w:r w:rsidRPr="00F71823">
        <w:rPr>
          <w:rFonts w:ascii="Times New Roman" w:hAnsi="Times New Roman" w:cs="Times New Roman"/>
          <w:b/>
          <w:bCs/>
          <w:iCs/>
          <w:sz w:val="22"/>
          <w:szCs w:val="22"/>
        </w:rPr>
        <w:t xml:space="preserve">Critical Findings </w:t>
      </w:r>
    </w:p>
    <w:p w14:paraId="32F07F45" w14:textId="77777777" w:rsidR="006B32D2" w:rsidRPr="00F71823" w:rsidRDefault="00000000" w:rsidP="00F71823">
      <w:pPr>
        <w:spacing w:after="0" w:line="480" w:lineRule="auto"/>
        <w:jc w:val="both"/>
        <w:rPr>
          <w:rFonts w:ascii="Times New Roman" w:eastAsia="Times New Roman" w:hAnsi="Times New Roman" w:cs="Times New Roman"/>
          <w:color w:val="000000"/>
          <w:sz w:val="22"/>
          <w:szCs w:val="22"/>
        </w:rPr>
      </w:pPr>
      <w:bookmarkStart w:id="0" w:name="_Hlk155977607"/>
      <w:r w:rsidRPr="00F71823">
        <w:rPr>
          <w:rFonts w:ascii="Times New Roman" w:eastAsia="Times New Roman" w:hAnsi="Times New Roman" w:cs="Times New Roman"/>
          <w:b/>
          <w:bCs/>
          <w:color w:val="000000"/>
          <w:sz w:val="22"/>
          <w:szCs w:val="22"/>
        </w:rPr>
        <w:t>The individual is inherently a communal being who cannot thrive in isolation</w:t>
      </w:r>
      <w:bookmarkEnd w:id="0"/>
      <w:r w:rsidRPr="00F71823">
        <w:rPr>
          <w:rFonts w:ascii="Times New Roman" w:eastAsia="Times New Roman" w:hAnsi="Times New Roman" w:cs="Times New Roman"/>
          <w:b/>
          <w:bCs/>
          <w:color w:val="000000"/>
          <w:sz w:val="22"/>
          <w:szCs w:val="22"/>
        </w:rPr>
        <w:t xml:space="preserve">: </w:t>
      </w:r>
      <w:r w:rsidRPr="00F71823">
        <w:rPr>
          <w:rFonts w:ascii="Times New Roman" w:eastAsia="Times New Roman" w:hAnsi="Times New Roman" w:cs="Times New Roman"/>
          <w:color w:val="000000"/>
          <w:sz w:val="22"/>
          <w:szCs w:val="22"/>
        </w:rPr>
        <w:t xml:space="preserve">In traditional African philosophy, the community is valued more highly than the individual. The proverbs that go, "A tree cannot make a forest," and "The strength of a broom is in the bunch, not in the individual broomstick," capture this idea. These proverbs also allude to the social order that comes from unity rather than just the idea of a single goal for the advancement of all people. Afro-communitarianism is defined by </w:t>
      </w:r>
      <w:proofErr w:type="spellStart"/>
      <w:r w:rsidRPr="00F71823">
        <w:rPr>
          <w:rFonts w:ascii="Times New Roman" w:eastAsia="Times New Roman" w:hAnsi="Times New Roman" w:cs="Times New Roman"/>
          <w:color w:val="000000"/>
          <w:sz w:val="22"/>
          <w:szCs w:val="22"/>
        </w:rPr>
        <w:t>Gyekye</w:t>
      </w:r>
      <w:proofErr w:type="spellEnd"/>
      <w:r w:rsidRPr="00F71823">
        <w:rPr>
          <w:rFonts w:ascii="Times New Roman" w:eastAsia="Times New Roman" w:hAnsi="Times New Roman" w:cs="Times New Roman"/>
          <w:color w:val="000000"/>
          <w:sz w:val="22"/>
          <w:szCs w:val="22"/>
        </w:rPr>
        <w:t xml:space="preserve"> (1997) as that which </w:t>
      </w:r>
      <w:r w:rsidRPr="00F71823">
        <w:rPr>
          <w:rFonts w:ascii="Times New Roman" w:eastAsia="Times New Roman" w:hAnsi="Times New Roman" w:cs="Times New Roman"/>
          <w:color w:val="000000"/>
          <w:sz w:val="22"/>
          <w:szCs w:val="22"/>
        </w:rPr>
        <w:lastRenderedPageBreak/>
        <w:t>“immediately sees the individual as an inherently communal being, embedded in a context of social relationships and interdependence, never as an isolated individual,” which lends credence to this point of view.</w:t>
      </w:r>
    </w:p>
    <w:p w14:paraId="4F4F467E" w14:textId="77777777" w:rsidR="006B32D2" w:rsidRPr="00F71823" w:rsidRDefault="00000000">
      <w:pPr>
        <w:spacing w:before="100" w:beforeAutospacing="1" w:after="100" w:afterAutospacing="1" w:line="480" w:lineRule="auto"/>
        <w:jc w:val="both"/>
        <w:rPr>
          <w:rFonts w:ascii="Times New Roman" w:eastAsia="Times New Roman" w:hAnsi="Times New Roman" w:cs="Times New Roman"/>
          <w:color w:val="000000"/>
          <w:sz w:val="22"/>
          <w:szCs w:val="22"/>
        </w:rPr>
      </w:pPr>
      <w:bookmarkStart w:id="1" w:name="_Hlk155977625"/>
      <w:r w:rsidRPr="00F71823">
        <w:rPr>
          <w:rFonts w:ascii="Times New Roman" w:eastAsia="Times New Roman" w:hAnsi="Times New Roman" w:cs="Times New Roman"/>
          <w:b/>
          <w:bCs/>
          <w:color w:val="000000"/>
          <w:sz w:val="22"/>
          <w:szCs w:val="22"/>
        </w:rPr>
        <w:t>Human Relationships are both Metaphysical and Physical</w:t>
      </w:r>
      <w:bookmarkEnd w:id="1"/>
      <w:r w:rsidRPr="00F71823">
        <w:rPr>
          <w:rFonts w:ascii="Times New Roman" w:eastAsia="Times New Roman" w:hAnsi="Times New Roman" w:cs="Times New Roman"/>
          <w:color w:val="000000"/>
          <w:sz w:val="22"/>
          <w:szCs w:val="22"/>
        </w:rPr>
        <w:t xml:space="preserve">: According to </w:t>
      </w:r>
      <w:proofErr w:type="spellStart"/>
      <w:r w:rsidRPr="00F71823">
        <w:rPr>
          <w:rFonts w:ascii="Times New Roman" w:eastAsia="Times New Roman" w:hAnsi="Times New Roman" w:cs="Times New Roman"/>
          <w:color w:val="000000"/>
          <w:sz w:val="22"/>
          <w:szCs w:val="22"/>
        </w:rPr>
        <w:t>Tempels</w:t>
      </w:r>
      <w:proofErr w:type="spellEnd"/>
      <w:r w:rsidRPr="00F71823">
        <w:rPr>
          <w:rFonts w:ascii="Times New Roman" w:eastAsia="Times New Roman" w:hAnsi="Times New Roman" w:cs="Times New Roman"/>
          <w:color w:val="000000"/>
          <w:sz w:val="22"/>
          <w:szCs w:val="22"/>
        </w:rPr>
        <w:t xml:space="preserve"> (</w:t>
      </w:r>
      <w:proofErr w:type="spellStart"/>
      <w:r w:rsidRPr="00F71823">
        <w:rPr>
          <w:rFonts w:ascii="Times New Roman" w:eastAsia="Times New Roman" w:hAnsi="Times New Roman" w:cs="Times New Roman"/>
          <w:color w:val="000000"/>
          <w:sz w:val="22"/>
          <w:szCs w:val="22"/>
        </w:rPr>
        <w:t>Matolino</w:t>
      </w:r>
      <w:proofErr w:type="spellEnd"/>
      <w:r w:rsidRPr="00F71823">
        <w:rPr>
          <w:rFonts w:ascii="Times New Roman" w:eastAsia="Times New Roman" w:hAnsi="Times New Roman" w:cs="Times New Roman"/>
          <w:color w:val="000000"/>
          <w:sz w:val="22"/>
          <w:szCs w:val="22"/>
        </w:rPr>
        <w:t xml:space="preserve"> 2009), the person is a being that cannot be split apart from his divine source or the community on an ontological level. The proverb that states that "a river that neglects its source runs dry" aptly captures this. According to </w:t>
      </w:r>
      <w:proofErr w:type="spellStart"/>
      <w:r w:rsidRPr="00F71823">
        <w:rPr>
          <w:rFonts w:ascii="Times New Roman" w:eastAsia="Times New Roman" w:hAnsi="Times New Roman" w:cs="Times New Roman"/>
          <w:color w:val="000000"/>
          <w:sz w:val="22"/>
          <w:szCs w:val="22"/>
        </w:rPr>
        <w:t>Tempels</w:t>
      </w:r>
      <w:proofErr w:type="spellEnd"/>
      <w:r w:rsidRPr="00F71823">
        <w:rPr>
          <w:rFonts w:ascii="Times New Roman" w:eastAsia="Times New Roman" w:hAnsi="Times New Roman" w:cs="Times New Roman"/>
          <w:color w:val="000000"/>
          <w:sz w:val="22"/>
          <w:szCs w:val="22"/>
        </w:rPr>
        <w:t xml:space="preserve">, every living being, or </w:t>
      </w:r>
      <w:proofErr w:type="spellStart"/>
      <w:r w:rsidRPr="00F71823">
        <w:rPr>
          <w:rFonts w:ascii="Times New Roman" w:eastAsia="Times New Roman" w:hAnsi="Times New Roman" w:cs="Times New Roman"/>
          <w:color w:val="000000"/>
          <w:sz w:val="22"/>
          <w:szCs w:val="22"/>
        </w:rPr>
        <w:t>muntu</w:t>
      </w:r>
      <w:proofErr w:type="spellEnd"/>
      <w:r w:rsidRPr="00F71823">
        <w:rPr>
          <w:rFonts w:ascii="Times New Roman" w:eastAsia="Times New Roman" w:hAnsi="Times New Roman" w:cs="Times New Roman"/>
          <w:color w:val="000000"/>
          <w:sz w:val="22"/>
          <w:szCs w:val="22"/>
        </w:rPr>
        <w:t xml:space="preserve"> has a metaphysical relationship with God, his clan's brethren, his family, and his offspring. He shares an ontological bond with his heritage, his land, and all that grows or lives there, as well as everything it includes or generates. This is the place where the idea of an ancestor finds its confirmation. African metaphysics, according to Mbiti in </w:t>
      </w:r>
      <w:proofErr w:type="spellStart"/>
      <w:r w:rsidRPr="00F71823">
        <w:rPr>
          <w:rFonts w:ascii="Times New Roman" w:eastAsia="Times New Roman" w:hAnsi="Times New Roman" w:cs="Times New Roman"/>
          <w:color w:val="000000"/>
          <w:sz w:val="22"/>
          <w:szCs w:val="22"/>
        </w:rPr>
        <w:t>Apologun</w:t>
      </w:r>
      <w:proofErr w:type="spellEnd"/>
      <w:r w:rsidRPr="00F71823">
        <w:rPr>
          <w:rFonts w:ascii="Times New Roman" w:eastAsia="Times New Roman" w:hAnsi="Times New Roman" w:cs="Times New Roman"/>
          <w:color w:val="000000"/>
          <w:sz w:val="22"/>
          <w:szCs w:val="22"/>
        </w:rPr>
        <w:t xml:space="preserve"> (2020), is both spiritual and </w:t>
      </w:r>
      <w:proofErr w:type="gramStart"/>
      <w:r w:rsidRPr="00F71823">
        <w:rPr>
          <w:rFonts w:ascii="Times New Roman" w:eastAsia="Times New Roman" w:hAnsi="Times New Roman" w:cs="Times New Roman"/>
          <w:color w:val="000000"/>
          <w:sz w:val="22"/>
          <w:szCs w:val="22"/>
        </w:rPr>
        <w:t>human-centered</w:t>
      </w:r>
      <w:proofErr w:type="gramEnd"/>
      <w:r w:rsidRPr="00F71823">
        <w:rPr>
          <w:rFonts w:ascii="Times New Roman" w:eastAsia="Times New Roman" w:hAnsi="Times New Roman" w:cs="Times New Roman"/>
          <w:color w:val="000000"/>
          <w:sz w:val="22"/>
          <w:szCs w:val="22"/>
        </w:rPr>
        <w:t>. It is intended to preserve social peace, spiritual harmony, and solidarity for this reason. Its goal is to establish a connection with the person and guide them towards mental and emotional equilibrium. This becomes clear that, in its quest to further the harmony of beings, African metaphysics places a high value on the idea of social order.</w:t>
      </w:r>
    </w:p>
    <w:p w14:paraId="2F50341B" w14:textId="77777777" w:rsidR="006B32D2" w:rsidRPr="00F71823" w:rsidRDefault="00000000">
      <w:pPr>
        <w:spacing w:before="100" w:beforeAutospacing="1" w:after="100" w:afterAutospacing="1" w:line="480" w:lineRule="auto"/>
        <w:jc w:val="both"/>
        <w:rPr>
          <w:rFonts w:ascii="Times New Roman" w:eastAsia="Times New Roman" w:hAnsi="Times New Roman" w:cs="Times New Roman"/>
          <w:color w:val="000000"/>
          <w:sz w:val="22"/>
          <w:szCs w:val="22"/>
        </w:rPr>
      </w:pPr>
      <w:bookmarkStart w:id="2" w:name="_Hlk155977661"/>
      <w:r w:rsidRPr="00F71823">
        <w:rPr>
          <w:rFonts w:ascii="Times New Roman" w:eastAsia="Times New Roman" w:hAnsi="Times New Roman" w:cs="Times New Roman"/>
          <w:b/>
          <w:bCs/>
          <w:sz w:val="22"/>
          <w:szCs w:val="22"/>
        </w:rPr>
        <w:t xml:space="preserve">A Dichotomy of ‘I’ and ‘Them’ </w:t>
      </w:r>
      <w:proofErr w:type="gramStart"/>
      <w:r w:rsidRPr="00F71823">
        <w:rPr>
          <w:rFonts w:ascii="Times New Roman" w:eastAsia="Times New Roman" w:hAnsi="Times New Roman" w:cs="Times New Roman"/>
          <w:b/>
          <w:bCs/>
          <w:sz w:val="22"/>
          <w:szCs w:val="22"/>
        </w:rPr>
        <w:t>is Capable of Breeding</w:t>
      </w:r>
      <w:proofErr w:type="gramEnd"/>
      <w:r w:rsidRPr="00F71823">
        <w:rPr>
          <w:rFonts w:ascii="Times New Roman" w:eastAsia="Times New Roman" w:hAnsi="Times New Roman" w:cs="Times New Roman"/>
          <w:b/>
          <w:bCs/>
          <w:sz w:val="22"/>
          <w:szCs w:val="22"/>
        </w:rPr>
        <w:t xml:space="preserve"> Social Conflicts</w:t>
      </w:r>
      <w:bookmarkEnd w:id="2"/>
      <w:r w:rsidRPr="00F71823">
        <w:rPr>
          <w:rFonts w:ascii="Times New Roman" w:eastAsia="Times New Roman" w:hAnsi="Times New Roman" w:cs="Times New Roman"/>
          <w:b/>
          <w:bCs/>
          <w:sz w:val="22"/>
          <w:szCs w:val="22"/>
        </w:rPr>
        <w:t>:</w:t>
      </w:r>
      <w:r w:rsidRPr="00F71823">
        <w:rPr>
          <w:rFonts w:ascii="Times New Roman" w:hAnsi="Times New Roman" w:cs="Times New Roman"/>
          <w:sz w:val="22"/>
          <w:szCs w:val="22"/>
        </w:rPr>
        <w:t xml:space="preserve"> </w:t>
      </w:r>
      <w:r w:rsidRPr="00F71823">
        <w:rPr>
          <w:rFonts w:ascii="Times New Roman" w:eastAsia="Times New Roman" w:hAnsi="Times New Roman" w:cs="Times New Roman"/>
          <w:sz w:val="22"/>
          <w:szCs w:val="22"/>
        </w:rPr>
        <w:t xml:space="preserve">One of Mbiti's (1970) most notable contributions is a crucial axiom that captures the essence of the interaction between the person and the community, or the self and the other. "I am because we are; and since we are, </w:t>
      </w:r>
      <w:proofErr w:type="gramStart"/>
      <w:r w:rsidRPr="00F71823">
        <w:rPr>
          <w:rFonts w:ascii="Times New Roman" w:eastAsia="Times New Roman" w:hAnsi="Times New Roman" w:cs="Times New Roman"/>
          <w:sz w:val="22"/>
          <w:szCs w:val="22"/>
        </w:rPr>
        <w:t>therefore</w:t>
      </w:r>
      <w:proofErr w:type="gramEnd"/>
      <w:r w:rsidRPr="00F71823">
        <w:rPr>
          <w:rFonts w:ascii="Times New Roman" w:eastAsia="Times New Roman" w:hAnsi="Times New Roman" w:cs="Times New Roman"/>
          <w:sz w:val="22"/>
          <w:szCs w:val="22"/>
        </w:rPr>
        <w:t xml:space="preserve"> I am," was his opinion. According to </w:t>
      </w:r>
      <w:proofErr w:type="spellStart"/>
      <w:r w:rsidRPr="00F71823">
        <w:rPr>
          <w:rFonts w:ascii="Times New Roman" w:eastAsia="Times New Roman" w:hAnsi="Times New Roman" w:cs="Times New Roman"/>
          <w:sz w:val="22"/>
          <w:szCs w:val="22"/>
        </w:rPr>
        <w:t>Adeati</w:t>
      </w:r>
      <w:proofErr w:type="spellEnd"/>
      <w:r w:rsidRPr="00F71823">
        <w:rPr>
          <w:rFonts w:ascii="Times New Roman" w:eastAsia="Times New Roman" w:hAnsi="Times New Roman" w:cs="Times New Roman"/>
          <w:sz w:val="22"/>
          <w:szCs w:val="22"/>
        </w:rPr>
        <w:t xml:space="preserve"> (2023), we could view the relationship that exists between the "I" and the "we" as a complementing one that blurs their differences. He continued by saying that rather than "I" and "them" in a never-ending struggle of opposites, this partnership upholds a social ordering that is directed by the "I" and "we" in a complementary relationship for self-actualization.</w:t>
      </w:r>
    </w:p>
    <w:p w14:paraId="32EBAB9A" w14:textId="77777777" w:rsidR="006B32D2" w:rsidRPr="00F71823" w:rsidRDefault="00000000">
      <w:pPr>
        <w:spacing w:before="100" w:beforeAutospacing="1" w:after="100" w:afterAutospacing="1" w:line="480" w:lineRule="auto"/>
        <w:jc w:val="both"/>
        <w:rPr>
          <w:rFonts w:ascii="Times New Roman" w:eastAsia="Times New Roman" w:hAnsi="Times New Roman" w:cs="Times New Roman"/>
          <w:color w:val="000000"/>
          <w:sz w:val="22"/>
          <w:szCs w:val="22"/>
        </w:rPr>
      </w:pPr>
      <w:bookmarkStart w:id="3" w:name="_Hlk155977691"/>
      <w:r w:rsidRPr="00F71823">
        <w:rPr>
          <w:rFonts w:ascii="Times New Roman" w:eastAsia="Times New Roman" w:hAnsi="Times New Roman" w:cs="Times New Roman"/>
          <w:b/>
          <w:bCs/>
          <w:color w:val="000000"/>
          <w:sz w:val="22"/>
          <w:szCs w:val="22"/>
        </w:rPr>
        <w:t>Inter-subjectivity Promotes the Ethics of Care for Future Generations</w:t>
      </w:r>
      <w:bookmarkEnd w:id="3"/>
      <w:r w:rsidRPr="00F71823">
        <w:rPr>
          <w:rFonts w:ascii="Times New Roman" w:eastAsia="Times New Roman" w:hAnsi="Times New Roman" w:cs="Times New Roman"/>
          <w:color w:val="000000"/>
          <w:sz w:val="22"/>
          <w:szCs w:val="22"/>
        </w:rPr>
        <w:t xml:space="preserve">: According to </w:t>
      </w:r>
      <w:proofErr w:type="spellStart"/>
      <w:r w:rsidRPr="00F71823">
        <w:rPr>
          <w:rFonts w:ascii="Times New Roman" w:eastAsia="Times New Roman" w:hAnsi="Times New Roman" w:cs="Times New Roman"/>
          <w:color w:val="000000"/>
          <w:sz w:val="22"/>
          <w:szCs w:val="22"/>
        </w:rPr>
        <w:t>Adeate</w:t>
      </w:r>
      <w:proofErr w:type="spellEnd"/>
      <w:r w:rsidRPr="00F71823">
        <w:rPr>
          <w:rFonts w:ascii="Times New Roman" w:eastAsia="Times New Roman" w:hAnsi="Times New Roman" w:cs="Times New Roman"/>
          <w:color w:val="000000"/>
          <w:sz w:val="22"/>
          <w:szCs w:val="22"/>
        </w:rPr>
        <w:t xml:space="preserve"> (2023), this </w:t>
      </w:r>
      <w:proofErr w:type="spellStart"/>
      <w:r w:rsidRPr="00F71823">
        <w:rPr>
          <w:rFonts w:ascii="Times New Roman" w:eastAsia="Times New Roman" w:hAnsi="Times New Roman" w:cs="Times New Roman"/>
          <w:color w:val="000000"/>
          <w:sz w:val="22"/>
          <w:szCs w:val="22"/>
        </w:rPr>
        <w:t>Mbitian</w:t>
      </w:r>
      <w:proofErr w:type="spellEnd"/>
      <w:r w:rsidRPr="00F71823">
        <w:rPr>
          <w:rFonts w:ascii="Times New Roman" w:eastAsia="Times New Roman" w:hAnsi="Times New Roman" w:cs="Times New Roman"/>
          <w:color w:val="000000"/>
          <w:sz w:val="22"/>
          <w:szCs w:val="22"/>
        </w:rPr>
        <w:t xml:space="preserve"> axiom is a worldview that highlights how </w:t>
      </w:r>
      <w:proofErr w:type="gramStart"/>
      <w:r w:rsidRPr="00F71823">
        <w:rPr>
          <w:rFonts w:ascii="Times New Roman" w:eastAsia="Times New Roman" w:hAnsi="Times New Roman" w:cs="Times New Roman"/>
          <w:color w:val="000000"/>
          <w:sz w:val="22"/>
          <w:szCs w:val="22"/>
        </w:rPr>
        <w:t>each individual</w:t>
      </w:r>
      <w:proofErr w:type="gramEnd"/>
      <w:r w:rsidRPr="00F71823">
        <w:rPr>
          <w:rFonts w:ascii="Times New Roman" w:eastAsia="Times New Roman" w:hAnsi="Times New Roman" w:cs="Times New Roman"/>
          <w:color w:val="000000"/>
          <w:sz w:val="22"/>
          <w:szCs w:val="22"/>
        </w:rPr>
        <w:t xml:space="preserve"> in society is a part of an unbroken network of required ties. He pointed out that the various elements of the community in African thought, </w:t>
      </w:r>
      <w:r w:rsidRPr="00F71823">
        <w:rPr>
          <w:rFonts w:ascii="Times New Roman" w:eastAsia="Times New Roman" w:hAnsi="Times New Roman" w:cs="Times New Roman"/>
          <w:color w:val="000000"/>
          <w:sz w:val="22"/>
          <w:szCs w:val="22"/>
        </w:rPr>
        <w:lastRenderedPageBreak/>
        <w:t>such as the unborn, infants, living, the living dead, and the collective immortals, are connected to social performance in addition to the living members of the community having ongoing obligations to one another. Although the unborn and young children are not responsible for doing tasks, they are morally significant since they receive obligations from the living. The living should, by their moral decisions and deeds, set the stage for a better society for the dead.</w:t>
      </w:r>
    </w:p>
    <w:p w14:paraId="16230AD7" w14:textId="77777777" w:rsidR="006B32D2" w:rsidRPr="00F71823" w:rsidRDefault="00000000">
      <w:pPr>
        <w:spacing w:before="100" w:beforeAutospacing="1" w:after="100" w:afterAutospacing="1" w:line="480" w:lineRule="auto"/>
        <w:jc w:val="both"/>
        <w:rPr>
          <w:rFonts w:ascii="Times New Roman" w:eastAsia="Times New Roman" w:hAnsi="Times New Roman" w:cs="Times New Roman"/>
          <w:color w:val="000000"/>
          <w:sz w:val="22"/>
          <w:szCs w:val="22"/>
        </w:rPr>
      </w:pPr>
      <w:bookmarkStart w:id="4" w:name="_Hlk155977725"/>
      <w:r w:rsidRPr="00F71823">
        <w:rPr>
          <w:rFonts w:ascii="Times New Roman" w:eastAsia="Times New Roman" w:hAnsi="Times New Roman" w:cs="Times New Roman"/>
          <w:b/>
          <w:bCs/>
          <w:color w:val="000000"/>
          <w:sz w:val="22"/>
          <w:szCs w:val="22"/>
        </w:rPr>
        <w:t>Thinking Hierarchically Encourages Peaceful Coexistence</w:t>
      </w:r>
      <w:bookmarkEnd w:id="4"/>
      <w:r w:rsidRPr="00F71823">
        <w:rPr>
          <w:rFonts w:ascii="Times New Roman" w:eastAsia="Times New Roman" w:hAnsi="Times New Roman" w:cs="Times New Roman"/>
          <w:color w:val="000000"/>
          <w:sz w:val="22"/>
          <w:szCs w:val="22"/>
        </w:rPr>
        <w:t xml:space="preserve">: According to Esen (1982), Africans reason with a hierarchical structure in mind at the ontological level. He pointed out that this hierarchy, with the Supreme Being—the one who created everything—at the top, is necessary for the existence of beings. In this hierarchy, lower-ranking entities include ancestors, humans, nonhuman animals, plants, and simple </w:t>
      </w:r>
      <w:proofErr w:type="gramStart"/>
      <w:r w:rsidRPr="00F71823">
        <w:rPr>
          <w:rFonts w:ascii="Times New Roman" w:eastAsia="Times New Roman" w:hAnsi="Times New Roman" w:cs="Times New Roman"/>
          <w:color w:val="000000"/>
          <w:sz w:val="22"/>
          <w:szCs w:val="22"/>
        </w:rPr>
        <w:t>matter</w:t>
      </w:r>
      <w:proofErr w:type="gramEnd"/>
      <w:r w:rsidRPr="00F71823">
        <w:rPr>
          <w:rFonts w:ascii="Times New Roman" w:eastAsia="Times New Roman" w:hAnsi="Times New Roman" w:cs="Times New Roman"/>
          <w:color w:val="000000"/>
          <w:sz w:val="22"/>
          <w:szCs w:val="22"/>
        </w:rPr>
        <w:t xml:space="preserve">. This philosophical way of thinking demonstrates the extent to which Africans value and support order. According to Etim (2013), humans behave and exist following their essence as </w:t>
      </w:r>
      <w:proofErr w:type="gramStart"/>
      <w:r w:rsidRPr="00F71823">
        <w:rPr>
          <w:rFonts w:ascii="Times New Roman" w:eastAsia="Times New Roman" w:hAnsi="Times New Roman" w:cs="Times New Roman"/>
          <w:color w:val="000000"/>
          <w:sz w:val="22"/>
          <w:szCs w:val="22"/>
        </w:rPr>
        <w:t>created creatures</w:t>
      </w:r>
      <w:proofErr w:type="gramEnd"/>
      <w:r w:rsidRPr="00F71823">
        <w:rPr>
          <w:rFonts w:ascii="Times New Roman" w:eastAsia="Times New Roman" w:hAnsi="Times New Roman" w:cs="Times New Roman"/>
          <w:color w:val="000000"/>
          <w:sz w:val="22"/>
          <w:szCs w:val="22"/>
        </w:rPr>
        <w:t xml:space="preserve"> within an ontological hierarchy of beings. The existence of humans is dependent on other entities, both natural and supernatural. He claims that this is the cause of the numerous sacrifices made by Africans in traditional societies performed as a means of sustaining balance and harmony among beings.</w:t>
      </w:r>
    </w:p>
    <w:p w14:paraId="5963900D" w14:textId="77777777" w:rsidR="006B32D2" w:rsidRPr="00F71823" w:rsidRDefault="00000000" w:rsidP="00F71823">
      <w:pPr>
        <w:autoSpaceDE w:val="0"/>
        <w:autoSpaceDN w:val="0"/>
        <w:adjustRightInd w:val="0"/>
        <w:spacing w:after="0" w:line="480" w:lineRule="auto"/>
        <w:rPr>
          <w:rFonts w:ascii="Times New Roman" w:hAnsi="Times New Roman" w:cs="Times New Roman"/>
          <w:b/>
          <w:sz w:val="22"/>
          <w:szCs w:val="22"/>
        </w:rPr>
      </w:pPr>
      <w:r w:rsidRPr="00F71823">
        <w:rPr>
          <w:rFonts w:ascii="Times New Roman" w:hAnsi="Times New Roman" w:cs="Times New Roman"/>
          <w:b/>
          <w:sz w:val="22"/>
          <w:szCs w:val="22"/>
        </w:rPr>
        <w:t>Conclusion</w:t>
      </w:r>
    </w:p>
    <w:p w14:paraId="5B9A3A88" w14:textId="77777777" w:rsidR="006B32D2" w:rsidRPr="00F71823" w:rsidRDefault="00000000" w:rsidP="00F71823">
      <w:pPr>
        <w:spacing w:after="0" w:line="48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In contrast to individualistic and deterministic entities, social beings are intersubjective and endowed with free will. This is due to the unique behaviors of individualistic entities, which include their self-sufficiency, inability to influence or be impacted by other beings, and innate tendency to act or see the world in uncommon ways. Conversely, social beings have free choice, are not predetermined, and as a result, live in an intersubjective environment. This demonstrates that African metaphysics has shown that the pursuit of intersubjectivity and solidarity in the lives of social beings is a worthwhile endeavor.  </w:t>
      </w:r>
    </w:p>
    <w:p w14:paraId="46C45E41" w14:textId="77777777" w:rsidR="006B32D2" w:rsidRPr="00F71823" w:rsidRDefault="00000000">
      <w:pPr>
        <w:spacing w:before="100" w:beforeAutospacing="1" w:after="100" w:afterAutospacing="1" w:line="480" w:lineRule="auto"/>
        <w:jc w:val="both"/>
        <w:rPr>
          <w:rFonts w:ascii="Times New Roman" w:hAnsi="Times New Roman" w:cs="Times New Roman"/>
          <w:sz w:val="22"/>
          <w:szCs w:val="22"/>
        </w:rPr>
      </w:pPr>
      <w:proofErr w:type="gramStart"/>
      <w:r w:rsidRPr="00F71823">
        <w:rPr>
          <w:rFonts w:ascii="Times New Roman" w:hAnsi="Times New Roman" w:cs="Times New Roman"/>
          <w:sz w:val="22"/>
          <w:szCs w:val="22"/>
        </w:rPr>
        <w:t>In light of the fact that</w:t>
      </w:r>
      <w:proofErr w:type="gramEnd"/>
      <w:r w:rsidRPr="00F71823">
        <w:rPr>
          <w:rFonts w:ascii="Times New Roman" w:hAnsi="Times New Roman" w:cs="Times New Roman"/>
          <w:sz w:val="22"/>
          <w:szCs w:val="22"/>
        </w:rPr>
        <w:t xml:space="preserve"> a person is essentially an outcast without the community, the study highlighted that the individual is a being that cannot be ontologically separated from it. The need for a person to be a part of a group relationship fosters togetherness, safety, and a feeling of identity. This is why Mbiti emphasizes </w:t>
      </w:r>
      <w:r w:rsidRPr="00F71823">
        <w:rPr>
          <w:rFonts w:ascii="Times New Roman" w:hAnsi="Times New Roman" w:cs="Times New Roman"/>
          <w:sz w:val="22"/>
          <w:szCs w:val="22"/>
        </w:rPr>
        <w:lastRenderedPageBreak/>
        <w:t>that this relationship, rather than "I" and "them" in a never-ending struggle of opposites, affirms a social ordering that is driven by the "I" and "we" in a complementary relationship for self-actualization. Although African metaphysics is thought to have spiritual significance, its social ramifications should not be understated. It views the individual never as an independent person, but rather as a fundamentally communal being, immersed in a framework of ongoing social ties and interdependence. To create social order, this study adds to the body of knowledge and diverse discourses surrounding the African worldview.</w:t>
      </w:r>
    </w:p>
    <w:p w14:paraId="7660BE33" w14:textId="77777777" w:rsidR="006B32D2" w:rsidRPr="00F71823" w:rsidRDefault="00000000" w:rsidP="00F71823">
      <w:pPr>
        <w:spacing w:after="0" w:line="240" w:lineRule="auto"/>
        <w:jc w:val="both"/>
        <w:rPr>
          <w:rFonts w:ascii="Times New Roman" w:hAnsi="Times New Roman" w:cs="Times New Roman"/>
          <w:b/>
          <w:bCs/>
          <w:sz w:val="22"/>
          <w:szCs w:val="22"/>
        </w:rPr>
      </w:pPr>
      <w:r w:rsidRPr="00F71823">
        <w:rPr>
          <w:rFonts w:ascii="Times New Roman" w:hAnsi="Times New Roman" w:cs="Times New Roman"/>
          <w:b/>
          <w:bCs/>
          <w:sz w:val="22"/>
          <w:szCs w:val="22"/>
        </w:rPr>
        <w:t>Bibliography</w:t>
      </w:r>
    </w:p>
    <w:p w14:paraId="786D9B84"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proofErr w:type="spellStart"/>
      <w:r w:rsidRPr="00F71823">
        <w:rPr>
          <w:rFonts w:ascii="Times New Roman" w:hAnsi="Times New Roman" w:cs="Times New Roman"/>
          <w:sz w:val="22"/>
          <w:szCs w:val="22"/>
        </w:rPr>
        <w:t>Apologun</w:t>
      </w:r>
      <w:proofErr w:type="spellEnd"/>
      <w:r w:rsidRPr="00F71823">
        <w:rPr>
          <w:rFonts w:ascii="Times New Roman" w:hAnsi="Times New Roman" w:cs="Times New Roman"/>
          <w:sz w:val="22"/>
          <w:szCs w:val="22"/>
        </w:rPr>
        <w:t xml:space="preserve">, S. S, 2020. Causality and African metaphysics: a meeting point. International </w:t>
      </w:r>
      <w:r w:rsidRPr="00F71823">
        <w:rPr>
          <w:rFonts w:ascii="Times New Roman" w:hAnsi="Times New Roman" w:cs="Times New Roman"/>
          <w:sz w:val="22"/>
          <w:szCs w:val="22"/>
        </w:rPr>
        <w:tab/>
      </w:r>
      <w:r w:rsidRPr="00F71823">
        <w:rPr>
          <w:rFonts w:ascii="Times New Roman" w:hAnsi="Times New Roman" w:cs="Times New Roman"/>
          <w:sz w:val="22"/>
          <w:szCs w:val="22"/>
        </w:rPr>
        <w:tab/>
      </w:r>
      <w:r w:rsidRPr="00F71823">
        <w:rPr>
          <w:rFonts w:ascii="Times New Roman" w:hAnsi="Times New Roman" w:cs="Times New Roman"/>
          <w:i/>
          <w:iCs/>
          <w:sz w:val="22"/>
          <w:szCs w:val="22"/>
        </w:rPr>
        <w:t>Journal of History and Philosophical Research,</w:t>
      </w:r>
      <w:r w:rsidRPr="00F71823">
        <w:rPr>
          <w:rFonts w:ascii="Times New Roman" w:hAnsi="Times New Roman" w:cs="Times New Roman"/>
          <w:sz w:val="22"/>
          <w:szCs w:val="22"/>
        </w:rPr>
        <w:t xml:space="preserve"> 8(2): 11-18. (</w:t>
      </w:r>
      <w:hyperlink r:id="rId7" w:history="1">
        <w:r w:rsidR="006B32D2" w:rsidRPr="00F71823">
          <w:rPr>
            <w:rStyle w:val="Hyperlink"/>
            <w:rFonts w:ascii="Times New Roman" w:hAnsi="Times New Roman" w:cs="Times New Roman"/>
            <w:sz w:val="22"/>
            <w:szCs w:val="22"/>
          </w:rPr>
          <w:t>https://eajournals.org/wp-</w:t>
        </w:r>
      </w:hyperlink>
      <w:r w:rsidRPr="00F71823">
        <w:rPr>
          <w:rFonts w:ascii="Times New Roman" w:hAnsi="Times New Roman" w:cs="Times New Roman"/>
          <w:sz w:val="22"/>
          <w:szCs w:val="22"/>
        </w:rPr>
        <w:tab/>
        <w:t>content/uploads/Causality-and-African-Metaphysics.pdf)</w:t>
      </w:r>
    </w:p>
    <w:p w14:paraId="1FF413DC"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Becker, P and Jean-Aime A. R, 2008. </w:t>
      </w:r>
      <w:r w:rsidRPr="00F71823">
        <w:rPr>
          <w:rFonts w:ascii="Times New Roman" w:hAnsi="Times New Roman" w:cs="Times New Roman"/>
          <w:i/>
          <w:iCs/>
          <w:sz w:val="22"/>
          <w:szCs w:val="22"/>
        </w:rPr>
        <w:t xml:space="preserve">What is democracy? </w:t>
      </w:r>
      <w:r w:rsidRPr="00F71823">
        <w:rPr>
          <w:rFonts w:ascii="Times New Roman" w:hAnsi="Times New Roman" w:cs="Times New Roman"/>
          <w:sz w:val="22"/>
          <w:szCs w:val="22"/>
        </w:rPr>
        <w:t xml:space="preserve">Germany: </w:t>
      </w:r>
      <w:proofErr w:type="spellStart"/>
      <w:r w:rsidRPr="00F71823">
        <w:rPr>
          <w:rFonts w:ascii="Times New Roman" w:hAnsi="Times New Roman" w:cs="Times New Roman"/>
          <w:sz w:val="22"/>
          <w:szCs w:val="22"/>
        </w:rPr>
        <w:t>Kmf</w:t>
      </w:r>
      <w:proofErr w:type="spellEnd"/>
      <w:r w:rsidRPr="00F71823">
        <w:rPr>
          <w:rFonts w:ascii="Times New Roman" w:hAnsi="Times New Roman" w:cs="Times New Roman"/>
          <w:sz w:val="22"/>
          <w:szCs w:val="22"/>
        </w:rPr>
        <w:t xml:space="preserve">-Cnoe &amp; Nova Stella. </w:t>
      </w:r>
      <w:r w:rsidRPr="00F71823">
        <w:rPr>
          <w:rFonts w:ascii="Times New Roman" w:hAnsi="Times New Roman" w:cs="Times New Roman"/>
          <w:sz w:val="22"/>
          <w:szCs w:val="22"/>
        </w:rPr>
        <w:tab/>
        <w:t>1-23</w:t>
      </w:r>
    </w:p>
    <w:p w14:paraId="71AAB0F7"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Eleonore, S, 2003. </w:t>
      </w:r>
      <w:r w:rsidRPr="00F71823">
        <w:rPr>
          <w:rFonts w:ascii="Times New Roman" w:hAnsi="Times New Roman" w:cs="Times New Roman"/>
          <w:i/>
          <w:iCs/>
          <w:sz w:val="22"/>
          <w:szCs w:val="22"/>
        </w:rPr>
        <w:t>Aquinas</w:t>
      </w:r>
      <w:r w:rsidRPr="00F71823">
        <w:rPr>
          <w:rFonts w:ascii="Times New Roman" w:hAnsi="Times New Roman" w:cs="Times New Roman"/>
          <w:sz w:val="22"/>
          <w:szCs w:val="22"/>
        </w:rPr>
        <w:t>. London: Routledge, Tailor &amp; Francis Group. 54 (216):457-462.</w:t>
      </w:r>
    </w:p>
    <w:p w14:paraId="3C53EFF6"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Esen, A.J.A, 1982. </w:t>
      </w:r>
      <w:r w:rsidRPr="00F71823">
        <w:rPr>
          <w:rFonts w:ascii="Times New Roman" w:hAnsi="Times New Roman" w:cs="Times New Roman"/>
          <w:i/>
          <w:iCs/>
          <w:sz w:val="22"/>
          <w:szCs w:val="22"/>
        </w:rPr>
        <w:t>Ibibio profile</w:t>
      </w:r>
      <w:r w:rsidRPr="00F71823">
        <w:rPr>
          <w:rFonts w:ascii="Times New Roman" w:hAnsi="Times New Roman" w:cs="Times New Roman"/>
          <w:sz w:val="22"/>
          <w:szCs w:val="22"/>
        </w:rPr>
        <w:t>. Calabar. Pacific Press. 8(5):1-205</w:t>
      </w:r>
    </w:p>
    <w:p w14:paraId="7B29907F"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Fashola, J. and Abiodun, H, 2021. The Ontology of hair and identity crises in African literature. </w:t>
      </w:r>
      <w:r w:rsidRPr="00F71823">
        <w:rPr>
          <w:rFonts w:ascii="Times New Roman" w:hAnsi="Times New Roman" w:cs="Times New Roman"/>
          <w:sz w:val="22"/>
          <w:szCs w:val="22"/>
        </w:rPr>
        <w:tab/>
      </w:r>
      <w:r w:rsidRPr="00F71823">
        <w:rPr>
          <w:rFonts w:ascii="Times New Roman" w:hAnsi="Times New Roman" w:cs="Times New Roman"/>
          <w:i/>
          <w:iCs/>
          <w:sz w:val="22"/>
          <w:szCs w:val="22"/>
        </w:rPr>
        <w:t>IASR Journal of Humanities and Social Sciences,</w:t>
      </w:r>
      <w:r w:rsidRPr="00F71823">
        <w:rPr>
          <w:rFonts w:ascii="Times New Roman" w:hAnsi="Times New Roman" w:cs="Times New Roman"/>
          <w:sz w:val="22"/>
          <w:szCs w:val="22"/>
        </w:rPr>
        <w:t xml:space="preserve"> 1(1):36-42. </w:t>
      </w:r>
      <w:r w:rsidRPr="00F71823">
        <w:rPr>
          <w:rFonts w:ascii="Times New Roman" w:hAnsi="Times New Roman" w:cs="Times New Roman"/>
          <w:sz w:val="22"/>
          <w:szCs w:val="22"/>
        </w:rPr>
        <w:tab/>
        <w:t>(http://iasrpublication.com/ijhss)</w:t>
      </w:r>
    </w:p>
    <w:p w14:paraId="04995A11"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Fashola, J, 2014. Reawakening African cultural practices towards global harmony: role of </w:t>
      </w:r>
      <w:r w:rsidRPr="00F71823">
        <w:rPr>
          <w:rFonts w:ascii="Times New Roman" w:hAnsi="Times New Roman" w:cs="Times New Roman"/>
          <w:sz w:val="22"/>
          <w:szCs w:val="22"/>
        </w:rPr>
        <w:tab/>
        <w:t xml:space="preserve">kinship. </w:t>
      </w:r>
      <w:r w:rsidRPr="00F71823">
        <w:rPr>
          <w:rFonts w:ascii="Times New Roman" w:hAnsi="Times New Roman" w:cs="Times New Roman"/>
          <w:i/>
          <w:iCs/>
          <w:sz w:val="22"/>
          <w:szCs w:val="22"/>
        </w:rPr>
        <w:t>Review of Arts and Humanities</w:t>
      </w:r>
      <w:r w:rsidRPr="00F71823">
        <w:rPr>
          <w:rFonts w:ascii="Times New Roman" w:hAnsi="Times New Roman" w:cs="Times New Roman"/>
          <w:sz w:val="22"/>
          <w:szCs w:val="22"/>
        </w:rPr>
        <w:t>, 3(2):101-113. ISSN: 2334-2927 (Print), 2334-</w:t>
      </w:r>
      <w:r w:rsidRPr="00F71823">
        <w:rPr>
          <w:rFonts w:ascii="Times New Roman" w:hAnsi="Times New Roman" w:cs="Times New Roman"/>
          <w:sz w:val="22"/>
          <w:szCs w:val="22"/>
        </w:rPr>
        <w:tab/>
        <w:t>2935 (Online) (</w:t>
      </w:r>
      <w:hyperlink r:id="rId8" w:history="1">
        <w:r w:rsidR="006B32D2" w:rsidRPr="00F71823">
          <w:rPr>
            <w:rStyle w:val="Hyperlink"/>
            <w:rFonts w:ascii="Times New Roman" w:hAnsi="Times New Roman" w:cs="Times New Roman"/>
            <w:sz w:val="22"/>
            <w:szCs w:val="22"/>
          </w:rPr>
          <w:t>https://www.researchgate.net/publication/339339548</w:t>
        </w:r>
      </w:hyperlink>
      <w:r w:rsidRPr="00F71823">
        <w:rPr>
          <w:rFonts w:ascii="Times New Roman" w:hAnsi="Times New Roman" w:cs="Times New Roman"/>
          <w:sz w:val="22"/>
          <w:szCs w:val="22"/>
        </w:rPr>
        <w:t>)</w:t>
      </w:r>
    </w:p>
    <w:p w14:paraId="0A20F075"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Fashola J, 2021. Morality and Cultural Identity. </w:t>
      </w:r>
      <w:r w:rsidRPr="00F71823">
        <w:rPr>
          <w:rFonts w:ascii="Times New Roman" w:hAnsi="Times New Roman" w:cs="Times New Roman"/>
          <w:i/>
          <w:iCs/>
          <w:sz w:val="22"/>
          <w:szCs w:val="22"/>
        </w:rPr>
        <w:t xml:space="preserve">Dominican University Journal of </w:t>
      </w:r>
      <w:r w:rsidRPr="00F71823">
        <w:rPr>
          <w:rFonts w:ascii="Times New Roman" w:hAnsi="Times New Roman" w:cs="Times New Roman"/>
          <w:i/>
          <w:iCs/>
          <w:sz w:val="22"/>
          <w:szCs w:val="22"/>
        </w:rPr>
        <w:tab/>
        <w:t>Humanities.</w:t>
      </w:r>
      <w:r w:rsidRPr="00F71823">
        <w:rPr>
          <w:rFonts w:ascii="Times New Roman" w:hAnsi="Times New Roman" w:cs="Times New Roman"/>
          <w:sz w:val="22"/>
          <w:szCs w:val="22"/>
        </w:rPr>
        <w:t>1:69.</w:t>
      </w:r>
    </w:p>
    <w:p w14:paraId="2CB56769"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Flynn, T, 2006.  </w:t>
      </w:r>
      <w:r w:rsidRPr="00F71823">
        <w:rPr>
          <w:rFonts w:ascii="Times New Roman" w:hAnsi="Times New Roman" w:cs="Times New Roman"/>
          <w:i/>
          <w:iCs/>
          <w:sz w:val="22"/>
          <w:szCs w:val="22"/>
        </w:rPr>
        <w:t>Existentialism: a very short introduction</w:t>
      </w:r>
      <w:r w:rsidRPr="00F71823">
        <w:rPr>
          <w:rFonts w:ascii="Times New Roman" w:hAnsi="Times New Roman" w:cs="Times New Roman"/>
          <w:sz w:val="22"/>
          <w:szCs w:val="22"/>
        </w:rPr>
        <w:t xml:space="preserve">. New York: Oxford University Press. </w:t>
      </w:r>
      <w:r w:rsidRPr="00F71823">
        <w:rPr>
          <w:rFonts w:ascii="Times New Roman" w:hAnsi="Times New Roman" w:cs="Times New Roman"/>
          <w:sz w:val="22"/>
          <w:szCs w:val="22"/>
        </w:rPr>
        <w:tab/>
        <w:t>1-160.</w:t>
      </w:r>
    </w:p>
    <w:p w14:paraId="464CF5BF"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Francis, E, 2013. African metaphysics. </w:t>
      </w:r>
      <w:r w:rsidRPr="00F71823">
        <w:rPr>
          <w:rFonts w:ascii="Times New Roman" w:hAnsi="Times New Roman" w:cs="Times New Roman"/>
          <w:i/>
          <w:iCs/>
          <w:sz w:val="22"/>
          <w:szCs w:val="22"/>
        </w:rPr>
        <w:t>Journal of Asian Scientific Research</w:t>
      </w:r>
      <w:r w:rsidRPr="00F71823">
        <w:rPr>
          <w:rFonts w:ascii="Times New Roman" w:hAnsi="Times New Roman" w:cs="Times New Roman"/>
          <w:sz w:val="22"/>
          <w:szCs w:val="22"/>
        </w:rPr>
        <w:t>, 3(1):11-17.</w:t>
      </w:r>
    </w:p>
    <w:p w14:paraId="117C689F"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Francis, J. S, 2000. </w:t>
      </w:r>
      <w:r w:rsidRPr="00F71823">
        <w:rPr>
          <w:rFonts w:ascii="Times New Roman" w:hAnsi="Times New Roman" w:cs="Times New Roman"/>
          <w:i/>
          <w:iCs/>
          <w:sz w:val="22"/>
          <w:szCs w:val="22"/>
        </w:rPr>
        <w:t>The recovery of metaphysics</w:t>
      </w:r>
      <w:r w:rsidRPr="00F71823">
        <w:rPr>
          <w:rFonts w:ascii="Times New Roman" w:hAnsi="Times New Roman" w:cs="Times New Roman"/>
          <w:sz w:val="22"/>
          <w:szCs w:val="22"/>
        </w:rPr>
        <w:t xml:space="preserve">. New Blackfriars, 81:955. </w:t>
      </w:r>
      <w:r w:rsidRPr="00F71823">
        <w:rPr>
          <w:rFonts w:ascii="Times New Roman" w:hAnsi="Times New Roman" w:cs="Times New Roman"/>
          <w:sz w:val="22"/>
          <w:szCs w:val="22"/>
        </w:rPr>
        <w:tab/>
        <w:t>(http://www.jstor.org/stable/43250479)</w:t>
      </w:r>
    </w:p>
    <w:p w14:paraId="6CC65322"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proofErr w:type="spellStart"/>
      <w:r w:rsidRPr="00F71823">
        <w:rPr>
          <w:rFonts w:ascii="Times New Roman" w:hAnsi="Times New Roman" w:cs="Times New Roman"/>
          <w:sz w:val="22"/>
          <w:szCs w:val="22"/>
        </w:rPr>
        <w:t>Gyekye</w:t>
      </w:r>
      <w:proofErr w:type="spellEnd"/>
      <w:r w:rsidRPr="00F71823">
        <w:rPr>
          <w:rFonts w:ascii="Times New Roman" w:hAnsi="Times New Roman" w:cs="Times New Roman"/>
          <w:sz w:val="22"/>
          <w:szCs w:val="22"/>
        </w:rPr>
        <w:t xml:space="preserve">, K, 1997. </w:t>
      </w:r>
      <w:r w:rsidRPr="00F71823">
        <w:rPr>
          <w:rFonts w:ascii="Times New Roman" w:hAnsi="Times New Roman" w:cs="Times New Roman"/>
          <w:i/>
          <w:iCs/>
          <w:sz w:val="22"/>
          <w:szCs w:val="22"/>
        </w:rPr>
        <w:t>Tradition and modernity: Philosophical reflections on the African experience</w:t>
      </w:r>
      <w:r w:rsidRPr="00F71823">
        <w:rPr>
          <w:rFonts w:ascii="Times New Roman" w:hAnsi="Times New Roman" w:cs="Times New Roman"/>
          <w:sz w:val="22"/>
          <w:szCs w:val="22"/>
        </w:rPr>
        <w:t xml:space="preserve">. </w:t>
      </w:r>
      <w:r w:rsidRPr="00F71823">
        <w:rPr>
          <w:rFonts w:ascii="Times New Roman" w:hAnsi="Times New Roman" w:cs="Times New Roman"/>
          <w:sz w:val="22"/>
          <w:szCs w:val="22"/>
        </w:rPr>
        <w:tab/>
        <w:t>New York: Oxford University Press. 1-350.</w:t>
      </w:r>
    </w:p>
    <w:p w14:paraId="0F70221C"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Held, D, 1995. </w:t>
      </w:r>
      <w:r w:rsidRPr="00F71823">
        <w:rPr>
          <w:rFonts w:ascii="Times New Roman" w:hAnsi="Times New Roman" w:cs="Times New Roman"/>
          <w:i/>
          <w:iCs/>
          <w:sz w:val="22"/>
          <w:szCs w:val="22"/>
        </w:rPr>
        <w:t xml:space="preserve">Democracy and </w:t>
      </w:r>
      <w:proofErr w:type="gramStart"/>
      <w:r w:rsidRPr="00F71823">
        <w:rPr>
          <w:rFonts w:ascii="Times New Roman" w:hAnsi="Times New Roman" w:cs="Times New Roman"/>
          <w:i/>
          <w:iCs/>
          <w:sz w:val="22"/>
          <w:szCs w:val="22"/>
        </w:rPr>
        <w:t>the global</w:t>
      </w:r>
      <w:proofErr w:type="gramEnd"/>
      <w:r w:rsidRPr="00F71823">
        <w:rPr>
          <w:rFonts w:ascii="Times New Roman" w:hAnsi="Times New Roman" w:cs="Times New Roman"/>
          <w:i/>
          <w:iCs/>
          <w:sz w:val="22"/>
          <w:szCs w:val="22"/>
        </w:rPr>
        <w:t xml:space="preserve"> order</w:t>
      </w:r>
      <w:r w:rsidRPr="00F71823">
        <w:rPr>
          <w:rFonts w:ascii="Times New Roman" w:hAnsi="Times New Roman" w:cs="Times New Roman"/>
          <w:sz w:val="22"/>
          <w:szCs w:val="22"/>
        </w:rPr>
        <w:t>. U.K: Polity Press. 1-336.</w:t>
      </w:r>
    </w:p>
    <w:p w14:paraId="5BD94F3B"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Hobbes, T, 2002. </w:t>
      </w:r>
      <w:r w:rsidRPr="00F71823">
        <w:rPr>
          <w:rFonts w:ascii="Times New Roman" w:hAnsi="Times New Roman" w:cs="Times New Roman"/>
          <w:i/>
          <w:iCs/>
          <w:sz w:val="22"/>
          <w:szCs w:val="22"/>
        </w:rPr>
        <w:t>Leviathan</w:t>
      </w:r>
      <w:r w:rsidRPr="00F71823">
        <w:rPr>
          <w:rFonts w:ascii="Times New Roman" w:hAnsi="Times New Roman" w:cs="Times New Roman"/>
          <w:sz w:val="22"/>
          <w:szCs w:val="22"/>
        </w:rPr>
        <w:t xml:space="preserve">. Edward White &amp; David Widger. ed. Canada: Green Dragon. </w:t>
      </w:r>
      <w:r w:rsidRPr="00F71823">
        <w:rPr>
          <w:rFonts w:ascii="Times New Roman" w:hAnsi="Times New Roman" w:cs="Times New Roman"/>
          <w:sz w:val="22"/>
          <w:szCs w:val="22"/>
        </w:rPr>
        <w:tab/>
        <w:t>(http://www.gutenberg.org/3/2/0/3207/)</w:t>
      </w:r>
    </w:p>
    <w:p w14:paraId="3AC17A14"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Hollingshead, A. D, 1941. </w:t>
      </w:r>
      <w:r w:rsidRPr="00F71823">
        <w:rPr>
          <w:rFonts w:ascii="Times New Roman" w:hAnsi="Times New Roman" w:cs="Times New Roman"/>
          <w:i/>
          <w:iCs/>
          <w:sz w:val="22"/>
          <w:szCs w:val="22"/>
        </w:rPr>
        <w:t>Guidance in democratic living</w:t>
      </w:r>
      <w:r w:rsidRPr="00F71823">
        <w:rPr>
          <w:rFonts w:ascii="Times New Roman" w:hAnsi="Times New Roman" w:cs="Times New Roman"/>
          <w:sz w:val="22"/>
          <w:szCs w:val="22"/>
        </w:rPr>
        <w:t>. New York: D. Appleton-Century. 17-</w:t>
      </w:r>
      <w:r w:rsidRPr="00F71823">
        <w:rPr>
          <w:rFonts w:ascii="Times New Roman" w:hAnsi="Times New Roman" w:cs="Times New Roman"/>
          <w:sz w:val="22"/>
          <w:szCs w:val="22"/>
        </w:rPr>
        <w:tab/>
        <w:t>18.</w:t>
      </w:r>
    </w:p>
    <w:p w14:paraId="2B751D78"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Lindberg, J. J, 2001. </w:t>
      </w:r>
      <w:r w:rsidRPr="00F71823">
        <w:rPr>
          <w:rFonts w:ascii="Times New Roman" w:hAnsi="Times New Roman" w:cs="Times New Roman"/>
          <w:i/>
          <w:iCs/>
          <w:sz w:val="22"/>
          <w:szCs w:val="22"/>
        </w:rPr>
        <w:t>Analytic philosophy: beginning to the present</w:t>
      </w:r>
      <w:r w:rsidRPr="00F71823">
        <w:rPr>
          <w:rFonts w:ascii="Times New Roman" w:hAnsi="Times New Roman" w:cs="Times New Roman"/>
          <w:sz w:val="22"/>
          <w:szCs w:val="22"/>
        </w:rPr>
        <w:t xml:space="preserve">. California: Mayfield </w:t>
      </w:r>
      <w:r w:rsidRPr="00F71823">
        <w:rPr>
          <w:rFonts w:ascii="Times New Roman" w:hAnsi="Times New Roman" w:cs="Times New Roman"/>
          <w:sz w:val="22"/>
          <w:szCs w:val="22"/>
        </w:rPr>
        <w:tab/>
        <w:t>Publishing Company. 1-422.</w:t>
      </w:r>
    </w:p>
    <w:p w14:paraId="46F85405"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proofErr w:type="spellStart"/>
      <w:r w:rsidRPr="00F71823">
        <w:rPr>
          <w:rFonts w:ascii="Times New Roman" w:hAnsi="Times New Roman" w:cs="Times New Roman"/>
          <w:sz w:val="22"/>
          <w:szCs w:val="22"/>
        </w:rPr>
        <w:t>Masolo</w:t>
      </w:r>
      <w:proofErr w:type="spellEnd"/>
      <w:r w:rsidRPr="00F71823">
        <w:rPr>
          <w:rFonts w:ascii="Times New Roman" w:hAnsi="Times New Roman" w:cs="Times New Roman"/>
          <w:sz w:val="22"/>
          <w:szCs w:val="22"/>
        </w:rPr>
        <w:t xml:space="preserve">, D. A, 1994. </w:t>
      </w:r>
      <w:r w:rsidRPr="00F71823">
        <w:rPr>
          <w:rFonts w:ascii="Times New Roman" w:hAnsi="Times New Roman" w:cs="Times New Roman"/>
          <w:i/>
          <w:iCs/>
          <w:sz w:val="22"/>
          <w:szCs w:val="22"/>
        </w:rPr>
        <w:t>African philosophy in search of identity</w:t>
      </w:r>
      <w:r w:rsidRPr="00F71823">
        <w:rPr>
          <w:rFonts w:ascii="Times New Roman" w:hAnsi="Times New Roman" w:cs="Times New Roman"/>
          <w:sz w:val="22"/>
          <w:szCs w:val="22"/>
        </w:rPr>
        <w:t xml:space="preserve">. Bloomington: Indiana University </w:t>
      </w:r>
      <w:r w:rsidRPr="00F71823">
        <w:rPr>
          <w:rFonts w:ascii="Times New Roman" w:hAnsi="Times New Roman" w:cs="Times New Roman"/>
          <w:sz w:val="22"/>
          <w:szCs w:val="22"/>
        </w:rPr>
        <w:tab/>
        <w:t>Press, &amp; Edinburgh: Edinburgh University Press Ltd. 1-330.</w:t>
      </w:r>
    </w:p>
    <w:p w14:paraId="3FBC0BF9"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Matolino, B, 2009. Radicals versus moderates: A critique of </w:t>
      </w:r>
      <w:proofErr w:type="spellStart"/>
      <w:r w:rsidRPr="00F71823">
        <w:rPr>
          <w:rFonts w:ascii="Times New Roman" w:hAnsi="Times New Roman" w:cs="Times New Roman"/>
          <w:sz w:val="22"/>
          <w:szCs w:val="22"/>
        </w:rPr>
        <w:t>Gyekye’s</w:t>
      </w:r>
      <w:proofErr w:type="spellEnd"/>
      <w:r w:rsidRPr="00F71823">
        <w:rPr>
          <w:rFonts w:ascii="Times New Roman" w:hAnsi="Times New Roman" w:cs="Times New Roman"/>
          <w:sz w:val="22"/>
          <w:szCs w:val="22"/>
        </w:rPr>
        <w:t xml:space="preserve"> moderate </w:t>
      </w:r>
      <w:r w:rsidRPr="00F71823">
        <w:rPr>
          <w:rFonts w:ascii="Times New Roman" w:hAnsi="Times New Roman" w:cs="Times New Roman"/>
          <w:sz w:val="22"/>
          <w:szCs w:val="22"/>
        </w:rPr>
        <w:tab/>
        <w:t xml:space="preserve">communitarianism. </w:t>
      </w:r>
      <w:r w:rsidRPr="00F71823">
        <w:rPr>
          <w:rFonts w:ascii="Times New Roman" w:hAnsi="Times New Roman" w:cs="Times New Roman"/>
          <w:i/>
          <w:iCs/>
          <w:sz w:val="22"/>
          <w:szCs w:val="22"/>
        </w:rPr>
        <w:t>South African Journal of Philosophy</w:t>
      </w:r>
      <w:r w:rsidRPr="00F71823">
        <w:rPr>
          <w:rFonts w:ascii="Times New Roman" w:hAnsi="Times New Roman" w:cs="Times New Roman"/>
          <w:sz w:val="22"/>
          <w:szCs w:val="22"/>
        </w:rPr>
        <w:t xml:space="preserve">, 28 (2):160–170. </w:t>
      </w:r>
      <w:r w:rsidRPr="00F71823">
        <w:rPr>
          <w:rFonts w:ascii="Times New Roman" w:hAnsi="Times New Roman" w:cs="Times New Roman"/>
          <w:sz w:val="22"/>
          <w:szCs w:val="22"/>
        </w:rPr>
        <w:tab/>
        <w:t>(https://doi.org/10.4314/sajpem.v28i2.46674)</w:t>
      </w:r>
    </w:p>
    <w:p w14:paraId="2C24263A"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Mbiti, J. S, 1970. </w:t>
      </w:r>
      <w:r w:rsidRPr="00F71823">
        <w:rPr>
          <w:rFonts w:ascii="Times New Roman" w:hAnsi="Times New Roman" w:cs="Times New Roman"/>
          <w:i/>
          <w:iCs/>
          <w:sz w:val="22"/>
          <w:szCs w:val="22"/>
        </w:rPr>
        <w:t>African religions and philosophies</w:t>
      </w:r>
      <w:r w:rsidRPr="00F71823">
        <w:rPr>
          <w:rFonts w:ascii="Times New Roman" w:hAnsi="Times New Roman" w:cs="Times New Roman"/>
          <w:sz w:val="22"/>
          <w:szCs w:val="22"/>
        </w:rPr>
        <w:t>. Oxford: Heinemann. 1-406.</w:t>
      </w:r>
    </w:p>
    <w:p w14:paraId="01DB3F96"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proofErr w:type="spellStart"/>
      <w:r w:rsidRPr="00F71823">
        <w:rPr>
          <w:rFonts w:ascii="Times New Roman" w:hAnsi="Times New Roman" w:cs="Times New Roman"/>
          <w:sz w:val="22"/>
          <w:szCs w:val="22"/>
        </w:rPr>
        <w:t>Menkiti</w:t>
      </w:r>
      <w:proofErr w:type="spellEnd"/>
      <w:r w:rsidRPr="00F71823">
        <w:rPr>
          <w:rFonts w:ascii="Times New Roman" w:hAnsi="Times New Roman" w:cs="Times New Roman"/>
          <w:sz w:val="22"/>
          <w:szCs w:val="22"/>
        </w:rPr>
        <w:t xml:space="preserve">, I. A, 2004. </w:t>
      </w:r>
      <w:r w:rsidRPr="00F71823">
        <w:rPr>
          <w:rFonts w:ascii="Times New Roman" w:hAnsi="Times New Roman" w:cs="Times New Roman"/>
          <w:i/>
          <w:iCs/>
          <w:sz w:val="22"/>
          <w:szCs w:val="22"/>
        </w:rPr>
        <w:t>On the normative conception of a person</w:t>
      </w:r>
      <w:r w:rsidRPr="00F71823">
        <w:rPr>
          <w:rFonts w:ascii="Times New Roman" w:hAnsi="Times New Roman" w:cs="Times New Roman"/>
          <w:sz w:val="22"/>
          <w:szCs w:val="22"/>
        </w:rPr>
        <w:t xml:space="preserve">. In Kwasi Wiredu Ed. A Companion </w:t>
      </w:r>
      <w:r w:rsidRPr="00F71823">
        <w:rPr>
          <w:rFonts w:ascii="Times New Roman" w:hAnsi="Times New Roman" w:cs="Times New Roman"/>
          <w:sz w:val="22"/>
          <w:szCs w:val="22"/>
        </w:rPr>
        <w:tab/>
        <w:t>to African Philosophy. USA: Blackwell Publishing Ltd. 324-331</w:t>
      </w:r>
    </w:p>
    <w:p w14:paraId="53232007"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lastRenderedPageBreak/>
        <w:t xml:space="preserve">Norberto, B, 1989. </w:t>
      </w:r>
      <w:r w:rsidRPr="00F71823">
        <w:rPr>
          <w:rFonts w:ascii="Times New Roman" w:hAnsi="Times New Roman" w:cs="Times New Roman"/>
          <w:i/>
          <w:iCs/>
          <w:sz w:val="22"/>
          <w:szCs w:val="22"/>
        </w:rPr>
        <w:t>Democracy and dictatorship: the nature and limits of state power</w:t>
      </w:r>
      <w:r w:rsidRPr="00F71823">
        <w:rPr>
          <w:rFonts w:ascii="Times New Roman" w:hAnsi="Times New Roman" w:cs="Times New Roman"/>
          <w:sz w:val="22"/>
          <w:szCs w:val="22"/>
        </w:rPr>
        <w:t xml:space="preserve">. P. Kennealy. </w:t>
      </w:r>
      <w:r w:rsidRPr="00F71823">
        <w:rPr>
          <w:rFonts w:ascii="Times New Roman" w:hAnsi="Times New Roman" w:cs="Times New Roman"/>
          <w:sz w:val="22"/>
          <w:szCs w:val="22"/>
        </w:rPr>
        <w:tab/>
        <w:t>Trans. Minneapolis: University of Minnesota Press. 1-158.</w:t>
      </w:r>
    </w:p>
    <w:p w14:paraId="059091C7"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proofErr w:type="spellStart"/>
      <w:r w:rsidRPr="00F71823">
        <w:rPr>
          <w:rFonts w:ascii="Times New Roman" w:hAnsi="Times New Roman" w:cs="Times New Roman"/>
          <w:sz w:val="22"/>
          <w:szCs w:val="22"/>
        </w:rPr>
        <w:t>Oyeshile</w:t>
      </w:r>
      <w:proofErr w:type="spellEnd"/>
      <w:r w:rsidRPr="00F71823">
        <w:rPr>
          <w:rFonts w:ascii="Times New Roman" w:hAnsi="Times New Roman" w:cs="Times New Roman"/>
          <w:sz w:val="22"/>
          <w:szCs w:val="22"/>
        </w:rPr>
        <w:t>, O. A, 2011</w:t>
      </w:r>
      <w:r w:rsidRPr="00F71823">
        <w:rPr>
          <w:rFonts w:ascii="Times New Roman" w:hAnsi="Times New Roman" w:cs="Times New Roman"/>
          <w:i/>
          <w:iCs/>
          <w:sz w:val="22"/>
          <w:szCs w:val="22"/>
        </w:rPr>
        <w:t>. Reconciling the self with the other</w:t>
      </w:r>
      <w:r w:rsidRPr="00F71823">
        <w:rPr>
          <w:rFonts w:ascii="Times New Roman" w:hAnsi="Times New Roman" w:cs="Times New Roman"/>
          <w:sz w:val="22"/>
          <w:szCs w:val="22"/>
        </w:rPr>
        <w:t>. Ibadan: Hope Publication. 1-26.</w:t>
      </w:r>
    </w:p>
    <w:p w14:paraId="1635329F"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Rothbard, M.N, 2009. </w:t>
      </w:r>
      <w:r w:rsidRPr="00F71823">
        <w:rPr>
          <w:rFonts w:ascii="Times New Roman" w:hAnsi="Times New Roman" w:cs="Times New Roman"/>
          <w:i/>
          <w:iCs/>
          <w:sz w:val="22"/>
          <w:szCs w:val="22"/>
        </w:rPr>
        <w:t>Anatomy of the state.</w:t>
      </w:r>
      <w:r w:rsidRPr="00F71823">
        <w:rPr>
          <w:rFonts w:ascii="Times New Roman" w:hAnsi="Times New Roman" w:cs="Times New Roman"/>
          <w:sz w:val="22"/>
          <w:szCs w:val="22"/>
        </w:rPr>
        <w:t xml:space="preserve"> Alabama: Ludwig von Mises Institute. 1-21.</w:t>
      </w:r>
    </w:p>
    <w:p w14:paraId="11E3C180"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Senghor, L. S, 1966. Negritude. </w:t>
      </w:r>
      <w:r w:rsidRPr="00F71823">
        <w:rPr>
          <w:rFonts w:ascii="Times New Roman" w:hAnsi="Times New Roman" w:cs="Times New Roman"/>
          <w:i/>
          <w:iCs/>
          <w:sz w:val="22"/>
          <w:szCs w:val="22"/>
        </w:rPr>
        <w:t>Optima</w:t>
      </w:r>
      <w:r w:rsidRPr="00F71823">
        <w:rPr>
          <w:rFonts w:ascii="Times New Roman" w:hAnsi="Times New Roman" w:cs="Times New Roman"/>
          <w:sz w:val="22"/>
          <w:szCs w:val="22"/>
        </w:rPr>
        <w:t>. 16(8):1-318.</w:t>
      </w:r>
    </w:p>
    <w:p w14:paraId="698306C4"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Stumpf, S. E, 1971. </w:t>
      </w:r>
      <w:r w:rsidRPr="00F71823">
        <w:rPr>
          <w:rFonts w:ascii="Times New Roman" w:hAnsi="Times New Roman" w:cs="Times New Roman"/>
          <w:i/>
          <w:iCs/>
          <w:sz w:val="22"/>
          <w:szCs w:val="22"/>
        </w:rPr>
        <w:t>Philosophy, history &amp; problems</w:t>
      </w:r>
      <w:r w:rsidRPr="00F71823">
        <w:rPr>
          <w:rFonts w:ascii="Times New Roman" w:hAnsi="Times New Roman" w:cs="Times New Roman"/>
          <w:sz w:val="22"/>
          <w:szCs w:val="22"/>
        </w:rPr>
        <w:t xml:space="preserve">. 4ed. New York; McGraw-Hill Book </w:t>
      </w:r>
      <w:r w:rsidRPr="00F71823">
        <w:rPr>
          <w:rFonts w:ascii="Times New Roman" w:hAnsi="Times New Roman" w:cs="Times New Roman"/>
          <w:sz w:val="22"/>
          <w:szCs w:val="22"/>
        </w:rPr>
        <w:tab/>
        <w:t>Company. 1-960.</w:t>
      </w:r>
    </w:p>
    <w:p w14:paraId="62A7810A"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proofErr w:type="spellStart"/>
      <w:r w:rsidRPr="00F71823">
        <w:rPr>
          <w:rFonts w:ascii="Times New Roman" w:hAnsi="Times New Roman" w:cs="Times New Roman"/>
          <w:sz w:val="22"/>
          <w:szCs w:val="22"/>
        </w:rPr>
        <w:t>Tempels</w:t>
      </w:r>
      <w:proofErr w:type="spellEnd"/>
      <w:r w:rsidRPr="00F71823">
        <w:rPr>
          <w:rFonts w:ascii="Times New Roman" w:hAnsi="Times New Roman" w:cs="Times New Roman"/>
          <w:sz w:val="22"/>
          <w:szCs w:val="22"/>
        </w:rPr>
        <w:t xml:space="preserve">, P, 1959. </w:t>
      </w:r>
      <w:r w:rsidRPr="00F71823">
        <w:rPr>
          <w:rFonts w:ascii="Times New Roman" w:hAnsi="Times New Roman" w:cs="Times New Roman"/>
          <w:i/>
          <w:iCs/>
          <w:sz w:val="22"/>
          <w:szCs w:val="22"/>
        </w:rPr>
        <w:t>Bantu philosophy</w:t>
      </w:r>
      <w:r w:rsidRPr="00F71823">
        <w:rPr>
          <w:rFonts w:ascii="Times New Roman" w:hAnsi="Times New Roman" w:cs="Times New Roman"/>
          <w:sz w:val="22"/>
          <w:szCs w:val="22"/>
        </w:rPr>
        <w:t>. Trans. Rev. Colin King. Paris: Presence Africaine. 1-83.</w:t>
      </w:r>
    </w:p>
    <w:p w14:paraId="4F0E55CB"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Thom, B, 2009. A critique of pragmatism and deliberative democracy. </w:t>
      </w:r>
      <w:r w:rsidRPr="00F71823">
        <w:rPr>
          <w:rFonts w:ascii="Times New Roman" w:hAnsi="Times New Roman" w:cs="Times New Roman"/>
          <w:i/>
          <w:iCs/>
          <w:sz w:val="22"/>
          <w:szCs w:val="22"/>
        </w:rPr>
        <w:t xml:space="preserve">Transactions of the Charles </w:t>
      </w:r>
      <w:r w:rsidRPr="00F71823">
        <w:rPr>
          <w:rFonts w:ascii="Times New Roman" w:hAnsi="Times New Roman" w:cs="Times New Roman"/>
          <w:i/>
          <w:iCs/>
          <w:sz w:val="22"/>
          <w:szCs w:val="22"/>
        </w:rPr>
        <w:tab/>
        <w:t>S. Peirce Society.</w:t>
      </w:r>
      <w:r w:rsidRPr="00F71823">
        <w:rPr>
          <w:rFonts w:ascii="Times New Roman" w:hAnsi="Times New Roman" w:cs="Times New Roman"/>
          <w:sz w:val="22"/>
          <w:szCs w:val="22"/>
        </w:rPr>
        <w:t xml:space="preserve"> 45(1): 50-54.  (http://www.jstor.org/stable/10.2979/tra.2009)</w:t>
      </w:r>
    </w:p>
    <w:p w14:paraId="73FE1B91"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proofErr w:type="spellStart"/>
      <w:r w:rsidRPr="00F71823">
        <w:rPr>
          <w:rFonts w:ascii="Times New Roman" w:hAnsi="Times New Roman" w:cs="Times New Roman"/>
          <w:sz w:val="22"/>
          <w:szCs w:val="22"/>
        </w:rPr>
        <w:t>Adeate</w:t>
      </w:r>
      <w:proofErr w:type="spellEnd"/>
      <w:r w:rsidRPr="00F71823">
        <w:rPr>
          <w:rFonts w:ascii="Times New Roman" w:hAnsi="Times New Roman" w:cs="Times New Roman"/>
          <w:sz w:val="22"/>
          <w:szCs w:val="22"/>
        </w:rPr>
        <w:t xml:space="preserve">, T, 2023. Mbiti on the community in African political thought: Reconciling the “I” and </w:t>
      </w:r>
      <w:r w:rsidRPr="00F71823">
        <w:rPr>
          <w:rFonts w:ascii="Times New Roman" w:hAnsi="Times New Roman" w:cs="Times New Roman"/>
          <w:sz w:val="22"/>
          <w:szCs w:val="22"/>
        </w:rPr>
        <w:tab/>
        <w:t xml:space="preserve">the “We”. </w:t>
      </w:r>
      <w:proofErr w:type="spellStart"/>
      <w:r w:rsidRPr="00F71823">
        <w:rPr>
          <w:rFonts w:ascii="Times New Roman" w:hAnsi="Times New Roman" w:cs="Times New Roman"/>
          <w:i/>
          <w:iCs/>
          <w:sz w:val="22"/>
          <w:szCs w:val="22"/>
        </w:rPr>
        <w:t>Phronimom</w:t>
      </w:r>
      <w:proofErr w:type="spellEnd"/>
      <w:r w:rsidRPr="00F71823">
        <w:rPr>
          <w:rFonts w:ascii="Times New Roman" w:hAnsi="Times New Roman" w:cs="Times New Roman"/>
          <w:i/>
          <w:iCs/>
          <w:sz w:val="22"/>
          <w:szCs w:val="22"/>
        </w:rPr>
        <w:t>,</w:t>
      </w:r>
      <w:r w:rsidRPr="00F71823">
        <w:rPr>
          <w:rFonts w:ascii="Times New Roman" w:hAnsi="Times New Roman" w:cs="Times New Roman"/>
          <w:sz w:val="22"/>
          <w:szCs w:val="22"/>
        </w:rPr>
        <w:t xml:space="preserve"> 24 (1): 15 (https://unisapressjournals.co.za/index.php/Phronimon)</w:t>
      </w:r>
    </w:p>
    <w:p w14:paraId="76748D2C"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Unah, J, 1996. </w:t>
      </w:r>
      <w:r w:rsidRPr="00F71823">
        <w:rPr>
          <w:rFonts w:ascii="Times New Roman" w:hAnsi="Times New Roman" w:cs="Times New Roman"/>
          <w:i/>
          <w:iCs/>
          <w:sz w:val="22"/>
          <w:szCs w:val="22"/>
        </w:rPr>
        <w:t>Heidegger’s existentialism: an essay on applied ontology.</w:t>
      </w:r>
      <w:r w:rsidRPr="00F71823">
        <w:rPr>
          <w:rFonts w:ascii="Times New Roman" w:hAnsi="Times New Roman" w:cs="Times New Roman"/>
          <w:sz w:val="22"/>
          <w:szCs w:val="22"/>
        </w:rPr>
        <w:t xml:space="preserve"> Lagos: </w:t>
      </w:r>
      <w:proofErr w:type="spellStart"/>
      <w:r w:rsidRPr="00F71823">
        <w:rPr>
          <w:rFonts w:ascii="Times New Roman" w:hAnsi="Times New Roman" w:cs="Times New Roman"/>
          <w:sz w:val="22"/>
          <w:szCs w:val="22"/>
        </w:rPr>
        <w:t>Panaf</w:t>
      </w:r>
      <w:proofErr w:type="spellEnd"/>
      <w:r w:rsidRPr="00F71823">
        <w:rPr>
          <w:rFonts w:ascii="Times New Roman" w:hAnsi="Times New Roman" w:cs="Times New Roman"/>
          <w:sz w:val="22"/>
          <w:szCs w:val="22"/>
        </w:rPr>
        <w:t xml:space="preserve"> Publishing </w:t>
      </w:r>
      <w:r w:rsidRPr="00F71823">
        <w:rPr>
          <w:rFonts w:ascii="Times New Roman" w:hAnsi="Times New Roman" w:cs="Times New Roman"/>
          <w:sz w:val="22"/>
          <w:szCs w:val="22"/>
        </w:rPr>
        <w:tab/>
        <w:t xml:space="preserve">Inc. 1-201. </w:t>
      </w:r>
    </w:p>
    <w:p w14:paraId="7058C8CB"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Unah, J ed. 2004. </w:t>
      </w:r>
      <w:r w:rsidRPr="00F71823">
        <w:rPr>
          <w:rFonts w:ascii="Times New Roman" w:hAnsi="Times New Roman" w:cs="Times New Roman"/>
          <w:i/>
          <w:iCs/>
          <w:sz w:val="22"/>
          <w:szCs w:val="22"/>
        </w:rPr>
        <w:t>Metaphysics, Phenomenology and African Philosophy</w:t>
      </w:r>
      <w:r w:rsidRPr="00F71823">
        <w:rPr>
          <w:rFonts w:ascii="Times New Roman" w:hAnsi="Times New Roman" w:cs="Times New Roman"/>
          <w:sz w:val="22"/>
          <w:szCs w:val="22"/>
        </w:rPr>
        <w:t xml:space="preserve">. Lagos: Fadece </w:t>
      </w:r>
      <w:r w:rsidRPr="00F71823">
        <w:rPr>
          <w:rFonts w:ascii="Times New Roman" w:hAnsi="Times New Roman" w:cs="Times New Roman"/>
          <w:sz w:val="22"/>
          <w:szCs w:val="22"/>
        </w:rPr>
        <w:tab/>
        <w:t>Publishers. 1-459.</w:t>
      </w:r>
    </w:p>
    <w:p w14:paraId="191BFEAC" w14:textId="77777777" w:rsidR="006B32D2" w:rsidRPr="00F71823" w:rsidRDefault="00000000" w:rsidP="00F71823">
      <w:pPr>
        <w:pStyle w:val="ListParagraph"/>
        <w:numPr>
          <w:ilvl w:val="0"/>
          <w:numId w:val="1"/>
        </w:numPr>
        <w:spacing w:after="0" w:line="240" w:lineRule="auto"/>
        <w:jc w:val="both"/>
        <w:rPr>
          <w:rFonts w:ascii="Times New Roman" w:hAnsi="Times New Roman" w:cs="Times New Roman"/>
          <w:sz w:val="22"/>
          <w:szCs w:val="22"/>
        </w:rPr>
      </w:pPr>
      <w:r w:rsidRPr="00F71823">
        <w:rPr>
          <w:rFonts w:ascii="Times New Roman" w:hAnsi="Times New Roman" w:cs="Times New Roman"/>
          <w:sz w:val="22"/>
          <w:szCs w:val="22"/>
        </w:rPr>
        <w:t xml:space="preserve">Wildon, H. C, 1926. The reform of the Leibnizian monadology. </w:t>
      </w:r>
      <w:r w:rsidRPr="00F71823">
        <w:rPr>
          <w:rFonts w:ascii="Times New Roman" w:hAnsi="Times New Roman" w:cs="Times New Roman"/>
          <w:i/>
          <w:iCs/>
          <w:sz w:val="22"/>
          <w:szCs w:val="22"/>
        </w:rPr>
        <w:t>The Journal of Philosophy</w:t>
      </w:r>
      <w:proofErr w:type="gramStart"/>
      <w:r w:rsidRPr="00F71823">
        <w:rPr>
          <w:rFonts w:ascii="Times New Roman" w:hAnsi="Times New Roman" w:cs="Times New Roman"/>
          <w:i/>
          <w:iCs/>
          <w:sz w:val="22"/>
          <w:szCs w:val="22"/>
        </w:rPr>
        <w:t>,</w:t>
      </w:r>
      <w:r w:rsidRPr="00F71823">
        <w:rPr>
          <w:rFonts w:ascii="Times New Roman" w:hAnsi="Times New Roman" w:cs="Times New Roman"/>
          <w:sz w:val="22"/>
          <w:szCs w:val="22"/>
        </w:rPr>
        <w:t xml:space="preserve"> </w:t>
      </w:r>
      <w:r w:rsidRPr="00F71823">
        <w:rPr>
          <w:rFonts w:ascii="Times New Roman" w:hAnsi="Times New Roman" w:cs="Times New Roman"/>
          <w:sz w:val="22"/>
          <w:szCs w:val="22"/>
        </w:rPr>
        <w:tab/>
        <w:t>23</w:t>
      </w:r>
      <w:proofErr w:type="gramEnd"/>
      <w:r w:rsidRPr="00F71823">
        <w:rPr>
          <w:rFonts w:ascii="Times New Roman" w:hAnsi="Times New Roman" w:cs="Times New Roman"/>
          <w:sz w:val="22"/>
          <w:szCs w:val="22"/>
        </w:rPr>
        <w:t xml:space="preserve">(3):68-77.  </w:t>
      </w:r>
      <w:r w:rsidRPr="00F71823">
        <w:rPr>
          <w:rFonts w:ascii="Times New Roman" w:hAnsi="Times New Roman" w:cs="Times New Roman"/>
          <w:sz w:val="22"/>
          <w:szCs w:val="22"/>
        </w:rPr>
        <w:tab/>
        <w:t>(http://www.jstor.org/stable/2014378)</w:t>
      </w:r>
    </w:p>
    <w:sectPr w:rsidR="006B32D2" w:rsidRPr="00F71823" w:rsidSect="00A74AFC">
      <w:footerReference w:type="default" r:id="rId9"/>
      <w:pgSz w:w="12240" w:h="15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1AEE4" w14:textId="77777777" w:rsidR="00D40EC9" w:rsidRDefault="00D40EC9">
      <w:pPr>
        <w:spacing w:line="240" w:lineRule="auto"/>
      </w:pPr>
      <w:r>
        <w:separator/>
      </w:r>
    </w:p>
  </w:endnote>
  <w:endnote w:type="continuationSeparator" w:id="0">
    <w:p w14:paraId="09162A8A" w14:textId="77777777" w:rsidR="00D40EC9" w:rsidRDefault="00D40E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921388"/>
      <w:docPartObj>
        <w:docPartGallery w:val="AutoText"/>
      </w:docPartObj>
    </w:sdtPr>
    <w:sdtContent>
      <w:p w14:paraId="0444313D" w14:textId="77777777" w:rsidR="006B32D2" w:rsidRDefault="00000000">
        <w:pPr>
          <w:pStyle w:val="Footer"/>
          <w:jc w:val="center"/>
        </w:pPr>
        <w:r>
          <w:fldChar w:fldCharType="begin"/>
        </w:r>
        <w:r>
          <w:instrText xml:space="preserve"> PAGE   \* MERGEFORMAT </w:instrText>
        </w:r>
        <w:r>
          <w:fldChar w:fldCharType="separate"/>
        </w:r>
        <w:r>
          <w:t>2</w:t>
        </w:r>
        <w:r>
          <w:fldChar w:fldCharType="end"/>
        </w:r>
      </w:p>
    </w:sdtContent>
  </w:sdt>
  <w:p w14:paraId="4721B160" w14:textId="77777777" w:rsidR="006B32D2" w:rsidRDefault="006B3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91F8" w14:textId="77777777" w:rsidR="00D40EC9" w:rsidRDefault="00D40EC9">
      <w:pPr>
        <w:spacing w:after="0"/>
      </w:pPr>
      <w:r>
        <w:separator/>
      </w:r>
    </w:p>
  </w:footnote>
  <w:footnote w:type="continuationSeparator" w:id="0">
    <w:p w14:paraId="094826D8" w14:textId="77777777" w:rsidR="00D40EC9" w:rsidRDefault="00D40EC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05231"/>
    <w:multiLevelType w:val="multilevel"/>
    <w:tmpl w:val="58E052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94140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6C8"/>
    <w:rsid w:val="000646C8"/>
    <w:rsid w:val="002E7BEB"/>
    <w:rsid w:val="004B318A"/>
    <w:rsid w:val="004F5279"/>
    <w:rsid w:val="0051669F"/>
    <w:rsid w:val="005E510D"/>
    <w:rsid w:val="005F50D7"/>
    <w:rsid w:val="006044DD"/>
    <w:rsid w:val="006B32D2"/>
    <w:rsid w:val="007B0B80"/>
    <w:rsid w:val="00845890"/>
    <w:rsid w:val="00866FE7"/>
    <w:rsid w:val="008E6F2E"/>
    <w:rsid w:val="00A74AFC"/>
    <w:rsid w:val="00B00CF6"/>
    <w:rsid w:val="00B1061F"/>
    <w:rsid w:val="00BE0EA2"/>
    <w:rsid w:val="00D40EC9"/>
    <w:rsid w:val="00DE3B6D"/>
    <w:rsid w:val="00E26013"/>
    <w:rsid w:val="00E27D27"/>
    <w:rsid w:val="00F71823"/>
    <w:rsid w:val="00F85BF8"/>
    <w:rsid w:val="00FB61C0"/>
    <w:rsid w:val="75520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B315F"/>
  <w15:docId w15:val="{1459A4A1-A530-42DA-AB3E-CAC8AEAF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467886" w:themeColor="hyperlink"/>
      <w:u w:val="single"/>
    </w:rPr>
  </w:style>
  <w:style w:type="character" w:styleId="LineNumber">
    <w:name w:val="line number"/>
    <w:basedOn w:val="DefaultParagraphFon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styleId="NoSpacing">
    <w:name w:val="No Spacing"/>
    <w:uiPriority w:val="99"/>
    <w:qFormat/>
    <w:rPr>
      <w:rFonts w:ascii="Calibri" w:eastAsia="Calibri" w:hAnsi="Calibri" w:cs="Times New Roman"/>
      <w:sz w:val="22"/>
      <w:szCs w:val="22"/>
      <w:lang w:val="en-GB" w:eastAsia="en-US"/>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39339548" TargetMode="External"/><Relationship Id="rId3" Type="http://schemas.openxmlformats.org/officeDocument/2006/relationships/settings" Target="settings.xml"/><Relationship Id="rId7" Type="http://schemas.openxmlformats.org/officeDocument/2006/relationships/hyperlink" Target="https://eajournals.org/w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15</Pages>
  <Words>5207</Words>
  <Characters>29684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 EDE</dc:creator>
  <cp:lastModifiedBy>RUN EDE</cp:lastModifiedBy>
  <cp:revision>10</cp:revision>
  <dcterms:created xsi:type="dcterms:W3CDTF">2025-07-03T16:37:00Z</dcterms:created>
  <dcterms:modified xsi:type="dcterms:W3CDTF">2026-06-28T16:49:00Z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2025-07-03T16:44:17Z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e86539b5-c1e6-4cda-98e1-a2deeb04e1d4</vt:lpwstr>
  </property>
  <property fmtid="{D5CDD505-2E9C-101B-9397-08002B2CF9AE}" pid="7" name="MSIP_Label_defa4170-0d19-0005-0004-bc88714345d2_ActionId">
    <vt:lpwstr>33ccb32c-6415-471c-b5e5-d055e761f6d1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ProductBuildVer">
    <vt:lpwstr>1033-12.2.0.23155</vt:lpwstr>
  </property>
  <property fmtid="{D5CDD505-2E9C-101B-9397-08002B2CF9AE}" pid="11" name="ICV">
    <vt:lpwstr>CBF938D880F14D07A45A90E40B6796BC_12</vt:lpwstr>
  </property>
</Properties>
</file>