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60891">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A Corpus-Based Analysis of Lexical Patterns and Ideological Representations in Selected Nigerian Christian Sermons</w:t>
      </w:r>
    </w:p>
    <w:p w14:paraId="7BD1630D">
      <w:pPr>
        <w:spacing w:line="240" w:lineRule="auto"/>
        <w:jc w:val="both"/>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Aderinsola Adebusayo Shodunke and Adebola Omolara Adebileje</w:t>
      </w:r>
    </w:p>
    <w:p w14:paraId="0DDD674E">
      <w:pPr>
        <w:spacing w:line="240" w:lineRule="auto"/>
        <w:jc w:val="both"/>
        <w:rPr>
          <w:rFonts w:hint="default" w:ascii="Times New Roman" w:hAnsi="Times New Roman" w:cs="Times New Roman"/>
          <w:b w:val="0"/>
          <w:bCs w:val="0"/>
          <w:color w:val="000000" w:themeColor="text1"/>
          <w:sz w:val="22"/>
          <w:szCs w:val="22"/>
          <w:lang w:val="en-US"/>
          <w14:textFill>
            <w14:solidFill>
              <w14:schemeClr w14:val="tx1"/>
            </w14:solidFill>
          </w14:textFill>
        </w:rPr>
      </w:pP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fldChar w:fldCharType="begin"/>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instrText xml:space="preserve"> HYPERLINK "mailto:ogunsanyaaa@run.edu.ng" </w:instrText>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fldChar w:fldCharType="separate"/>
      </w:r>
      <w:r>
        <w:rPr>
          <w:rStyle w:val="18"/>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t>ogunsanyaaa@run.edu.ng</w:t>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fldChar w:fldCharType="end"/>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tab/>
        <w:t/>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tab/>
        <w:t/>
      </w:r>
      <w:r>
        <w:rPr>
          <w:rFonts w:hint="default" w:ascii="Times New Roman" w:hAnsi="Times New Roman" w:eastAsia="Helvetica" w:cs="Times New Roman"/>
          <w:b w:val="0"/>
          <w:bCs w:val="0"/>
          <w:i w:val="0"/>
          <w:iCs w:val="0"/>
          <w:caps w:val="0"/>
          <w:color w:val="000000" w:themeColor="text1"/>
          <w:spacing w:val="0"/>
          <w:sz w:val="22"/>
          <w:szCs w:val="22"/>
          <w:shd w:val="clear" w:fill="FFFFFF"/>
          <w:lang w:val="en-US"/>
          <w14:textFill>
            <w14:solidFill>
              <w14:schemeClr w14:val="tx1"/>
            </w14:solidFill>
          </w14:textFill>
        </w:rPr>
        <w:tab/>
      </w:r>
      <w:r>
        <w:rPr>
          <w:rFonts w:hint="default" w:ascii="Times New Roman" w:hAnsi="Times New Roman" w:eastAsia="Helvetica" w:cs="Times New Roman"/>
          <w:b w:val="0"/>
          <w:bCs w:val="0"/>
          <w:i w:val="0"/>
          <w:iCs w:val="0"/>
          <w:caps w:val="0"/>
          <w:color w:val="000000" w:themeColor="text1"/>
          <w:spacing w:val="0"/>
          <w:sz w:val="22"/>
          <w:szCs w:val="22"/>
          <w:shd w:val="clear" w:fill="FFFFFF"/>
          <w14:textFill>
            <w14:solidFill>
              <w14:schemeClr w14:val="tx1"/>
            </w14:solidFill>
          </w14:textFill>
        </w:rPr>
        <w:t>adebilejea@run.edu.ng</w:t>
      </w:r>
    </w:p>
    <w:p w14:paraId="2883812A">
      <w:pPr>
        <w:spacing w:line="480" w:lineRule="auto"/>
        <w:jc w:val="both"/>
        <w:rPr>
          <w:rFonts w:ascii="Times New Roman" w:hAnsi="Times New Roman" w:cs="Times New Roman"/>
          <w:b/>
          <w:bCs/>
          <w:sz w:val="22"/>
          <w:szCs w:val="22"/>
        </w:rPr>
      </w:pPr>
    </w:p>
    <w:p w14:paraId="57FEDD9B">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Abstract</w:t>
      </w:r>
      <w:bookmarkStart w:id="1" w:name="_GoBack"/>
      <w:bookmarkEnd w:id="1"/>
    </w:p>
    <w:p w14:paraId="678869BC">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Existing studies on sermon discourse are more focused on rhetorical and interpretive features, with less attention on systematic lexical patterning through corpus-based methods, particularly within Nigerian sermons. These previous studies remain limited in corpus scope and provide insufficient quantitative evidence for explaining how sermon language is organised for ideological representations across different denominations. Based on the background, this study investigates lexical patterns that characterise Nigerian Christian sermons and examines how these patterns reveal ideological representations and preacher–audience engagement. Anchored in corpus linguistics and interpreted through Systemic Functional Linguistics, the study adopts a corpus-assisted design using a purpose-built corpus of thirty sermons collected from ten Christian denominations in Nigeria (90,589 tokens). Data are analysed using AntConc tool for frequency, keyword, semantic, and cluster analyses. Findings show that theological and scriptural vocabulary dominates sermon discourse, with </w:t>
      </w:r>
      <w:r>
        <w:rPr>
          <w:rFonts w:ascii="Times New Roman" w:hAnsi="Times New Roman" w:cs="Times New Roman"/>
          <w:i/>
          <w:iCs/>
          <w:sz w:val="22"/>
          <w:szCs w:val="22"/>
        </w:rPr>
        <w:t>God</w:t>
      </w:r>
      <w:r>
        <w:rPr>
          <w:rFonts w:ascii="Times New Roman" w:hAnsi="Times New Roman" w:cs="Times New Roman"/>
          <w:sz w:val="22"/>
          <w:szCs w:val="22"/>
        </w:rPr>
        <w:t xml:space="preserve"> (918), </w:t>
      </w:r>
      <w:r>
        <w:rPr>
          <w:rFonts w:ascii="Times New Roman" w:hAnsi="Times New Roman" w:cs="Times New Roman"/>
          <w:i/>
          <w:iCs/>
          <w:sz w:val="22"/>
          <w:szCs w:val="22"/>
        </w:rPr>
        <w:t>Jesus</w:t>
      </w:r>
      <w:r>
        <w:rPr>
          <w:rFonts w:ascii="Times New Roman" w:hAnsi="Times New Roman" w:cs="Times New Roman"/>
          <w:sz w:val="22"/>
          <w:szCs w:val="22"/>
        </w:rPr>
        <w:t xml:space="preserve"> (370), </w:t>
      </w:r>
      <w:r>
        <w:rPr>
          <w:rFonts w:ascii="Times New Roman" w:hAnsi="Times New Roman" w:cs="Times New Roman"/>
          <w:i/>
          <w:iCs/>
          <w:sz w:val="22"/>
          <w:szCs w:val="22"/>
        </w:rPr>
        <w:t>Lord</w:t>
      </w:r>
      <w:r>
        <w:rPr>
          <w:rFonts w:ascii="Times New Roman" w:hAnsi="Times New Roman" w:cs="Times New Roman"/>
          <w:sz w:val="22"/>
          <w:szCs w:val="22"/>
        </w:rPr>
        <w:t xml:space="preserve"> (356), </w:t>
      </w:r>
      <w:r>
        <w:rPr>
          <w:rFonts w:ascii="Times New Roman" w:hAnsi="Times New Roman" w:cs="Times New Roman"/>
          <w:i/>
          <w:iCs/>
          <w:sz w:val="22"/>
          <w:szCs w:val="22"/>
        </w:rPr>
        <w:t>life</w:t>
      </w:r>
      <w:r>
        <w:rPr>
          <w:rFonts w:ascii="Times New Roman" w:hAnsi="Times New Roman" w:cs="Times New Roman"/>
          <w:sz w:val="22"/>
          <w:szCs w:val="22"/>
        </w:rPr>
        <w:t xml:space="preserve"> (325), and </w:t>
      </w:r>
      <w:r>
        <w:rPr>
          <w:rFonts w:ascii="Times New Roman" w:hAnsi="Times New Roman" w:cs="Times New Roman"/>
          <w:i/>
          <w:iCs/>
          <w:sz w:val="22"/>
          <w:szCs w:val="22"/>
        </w:rPr>
        <w:t>faith</w:t>
      </w:r>
      <w:r>
        <w:rPr>
          <w:rFonts w:ascii="Times New Roman" w:hAnsi="Times New Roman" w:cs="Times New Roman"/>
          <w:sz w:val="22"/>
          <w:szCs w:val="22"/>
        </w:rPr>
        <w:t xml:space="preserve"> (296) emerging as the most recurrent lexical items. Keyword and cluster analyses identify choices associated with spirituality and congregational interaction, while recurrent clusters, such as </w:t>
      </w:r>
      <w:r>
        <w:rPr>
          <w:rFonts w:ascii="Times New Roman" w:hAnsi="Times New Roman" w:cs="Times New Roman"/>
          <w:i/>
          <w:iCs/>
          <w:sz w:val="22"/>
          <w:szCs w:val="22"/>
        </w:rPr>
        <w:t>spirit of faith</w:t>
      </w:r>
      <w:r>
        <w:rPr>
          <w:rFonts w:ascii="Times New Roman" w:hAnsi="Times New Roman" w:cs="Times New Roman"/>
          <w:sz w:val="22"/>
          <w:szCs w:val="22"/>
        </w:rPr>
        <w:t xml:space="preserve"> and </w:t>
      </w:r>
      <w:r>
        <w:rPr>
          <w:rFonts w:ascii="Times New Roman" w:hAnsi="Times New Roman" w:cs="Times New Roman"/>
          <w:i/>
          <w:iCs/>
          <w:sz w:val="22"/>
          <w:szCs w:val="22"/>
        </w:rPr>
        <w:t>the Bible says</w:t>
      </w:r>
      <w:r>
        <w:rPr>
          <w:rFonts w:ascii="Times New Roman" w:hAnsi="Times New Roman" w:cs="Times New Roman"/>
          <w:sz w:val="22"/>
          <w:szCs w:val="22"/>
        </w:rPr>
        <w:t>, show ideological meanings linking faith, authority, and identity. Through the SFL theory’s ideational metafunction, the study shows how lexical patterns represent religious experience and sustain theological assumptions within sermon discourse. The study concludes that Nigerian Christian sermons utilise lexical patterns to build and sustain ideological representations of faith, authority, and spiritual experience, which contributes to existing studies of religious discourse in Nigeria.</w:t>
      </w:r>
    </w:p>
    <w:p w14:paraId="774D36BF">
      <w:pPr>
        <w:spacing w:line="480" w:lineRule="auto"/>
        <w:jc w:val="both"/>
        <w:rPr>
          <w:rFonts w:ascii="Times New Roman" w:hAnsi="Times New Roman" w:cs="Times New Roman"/>
          <w:i/>
          <w:iCs/>
          <w:sz w:val="22"/>
          <w:szCs w:val="22"/>
        </w:rPr>
      </w:pPr>
      <w:r>
        <w:rPr>
          <w:rFonts w:ascii="Times New Roman" w:hAnsi="Times New Roman" w:cs="Times New Roman"/>
          <w:b/>
          <w:bCs/>
          <w:sz w:val="22"/>
          <w:szCs w:val="22"/>
        </w:rPr>
        <w:t xml:space="preserve">Keywords: </w:t>
      </w:r>
      <w:r>
        <w:rPr>
          <w:rFonts w:ascii="Times New Roman" w:hAnsi="Times New Roman" w:cs="Times New Roman"/>
          <w:i/>
          <w:iCs/>
          <w:sz w:val="22"/>
          <w:szCs w:val="22"/>
        </w:rPr>
        <w:t>Corpus Linguistics; Nigerian Christian Sermons; Lexical Patterns; Ideological Representation; Systemic Functional Linguistics</w:t>
      </w:r>
    </w:p>
    <w:p w14:paraId="683A3B57">
      <w:pPr>
        <w:spacing w:line="480" w:lineRule="auto"/>
        <w:jc w:val="both"/>
        <w:rPr>
          <w:rFonts w:ascii="Times New Roman" w:hAnsi="Times New Roman" w:cs="Times New Roman"/>
          <w:i/>
          <w:iCs/>
          <w:sz w:val="22"/>
          <w:szCs w:val="22"/>
        </w:rPr>
      </w:pPr>
    </w:p>
    <w:p w14:paraId="1D035F7C">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Introduction </w:t>
      </w:r>
    </w:p>
    <w:p w14:paraId="2572DA96">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Religious discourse occupies an influential position in many societies because it shapes social values, identities, and organises ways of interpreting daily experience. In Nigeria, Christian sermons are among the most visible forms of public religious communication, which helps to reach out to large audiences across different denominations, regions, and communities. Despite their cultural presence and linguistic richness, sermons in Nigeria are still less considered and under-explored as patterned language data. More importantly, existing scholarship has often privileged interpretive or rhetorical readings of sermons, leaving questions of lexical organisation, recurrence, and discourse preference less systematically explored (Nofal, 2023). </w:t>
      </w:r>
    </w:p>
    <w:p w14:paraId="42386B5B">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 The introduction of corpus linguistics into religious discourse has changed this situation by providing tools for examining language through observable distributional patterns. Corpus-based approaches make it possible to identify what language users repeatedly select, foreground, suppress, or combine across texts. Also, corpus methods examine word frequency, keyness, collocation, and clustering as evidence of underlying discourse tendencies. Similarly, Corpus-Assisted Discourse Studies (CADS) further argued that recurrent linguistic choices can reveal meanings that are not immediately visible through close reading alone (Partington, Duguid &amp; Taylor,</w:t>
      </w:r>
      <w:r>
        <w:rPr>
          <w:rFonts w:ascii="Times New Roman" w:hAnsi="Times New Roman" w:cs="Times New Roman"/>
          <w:i/>
          <w:iCs/>
          <w:sz w:val="22"/>
          <w:szCs w:val="22"/>
        </w:rPr>
        <w:t xml:space="preserve"> </w:t>
      </w:r>
      <w:r>
        <w:rPr>
          <w:rFonts w:ascii="Times New Roman" w:hAnsi="Times New Roman" w:cs="Times New Roman"/>
          <w:sz w:val="22"/>
          <w:szCs w:val="22"/>
        </w:rPr>
        <w:t xml:space="preserve">2013). </w:t>
      </w:r>
    </w:p>
    <w:p w14:paraId="097B6B1D">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Within sermon discourse, the repeated selection of certain words, expressions, and semantic categories can determine how religious experience is understood and how some beliefs become foregrounded in preaching. Therefore, in sermons, lexical patterns may not only act as thematic organisation of ideas about faith, divine authority, spiritual growth, and human experience, but as meaningful and desirable elements. In other words, linguistic choices of preachers are profoundly ideological and are intended to create reality, guide social behaviour, regulate communities and reinforce spiritual and sociocultural principles. From this view, recurring lexical choices become one of the ways through which sermons organise religious meaning and sustain ideological representations across different sermons. </w:t>
      </w:r>
    </w:p>
    <w:p w14:paraId="19B6A12F">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Studies on Nigerian English have shown the value of corpus methods in identifying patterned linguistic behaviour across different communication styles. For example, Unuabonah (2021) research on lexical borrowing and pragmatic markers has shown that linguistic choices in Nigerian English are determined by local communicative needs and similarly, her corpus-based investigations reveal that bilingual expressions such as </w:t>
      </w:r>
      <w:r>
        <w:rPr>
          <w:rFonts w:ascii="Times New Roman" w:hAnsi="Times New Roman" w:cs="Times New Roman"/>
          <w:i/>
          <w:iCs/>
          <w:sz w:val="22"/>
          <w:szCs w:val="22"/>
        </w:rPr>
        <w:t>oya</w:t>
      </w:r>
      <w:r>
        <w:rPr>
          <w:rFonts w:ascii="Times New Roman" w:hAnsi="Times New Roman" w:cs="Times New Roman"/>
          <w:sz w:val="22"/>
          <w:szCs w:val="22"/>
        </w:rPr>
        <w:t xml:space="preserve">, </w:t>
      </w:r>
      <w:r>
        <w:rPr>
          <w:rFonts w:ascii="Times New Roman" w:hAnsi="Times New Roman" w:cs="Times New Roman"/>
          <w:i/>
          <w:iCs/>
          <w:sz w:val="22"/>
          <w:szCs w:val="22"/>
        </w:rPr>
        <w:t>ke</w:t>
      </w:r>
      <w:r>
        <w:rPr>
          <w:rFonts w:ascii="Times New Roman" w:hAnsi="Times New Roman" w:cs="Times New Roman"/>
          <w:sz w:val="22"/>
          <w:szCs w:val="22"/>
        </w:rPr>
        <w:t xml:space="preserve">, and </w:t>
      </w:r>
      <w:r>
        <w:rPr>
          <w:rFonts w:ascii="Times New Roman" w:hAnsi="Times New Roman" w:cs="Times New Roman"/>
          <w:i/>
          <w:iCs/>
          <w:sz w:val="22"/>
          <w:szCs w:val="22"/>
        </w:rPr>
        <w:t>walahi</w:t>
      </w:r>
      <w:r>
        <w:rPr>
          <w:rFonts w:ascii="Times New Roman" w:hAnsi="Times New Roman" w:cs="Times New Roman"/>
          <w:sz w:val="22"/>
          <w:szCs w:val="22"/>
        </w:rPr>
        <w:t xml:space="preserve"> perform interactional functions related to emphasis, attention, and social positioning. In addition, comparative corpus studies on intensifier usage indicate that Nigerian English exhibits distinct frequency patterns and preferences when compared with British English (Unuabonah </w:t>
      </w:r>
      <w:r>
        <w:rPr>
          <w:rFonts w:ascii="Times New Roman" w:hAnsi="Times New Roman" w:cs="Times New Roman"/>
          <w:i/>
          <w:iCs/>
          <w:sz w:val="22"/>
          <w:szCs w:val="22"/>
        </w:rPr>
        <w:t>et al.,</w:t>
      </w:r>
      <w:r>
        <w:rPr>
          <w:rFonts w:ascii="Times New Roman" w:hAnsi="Times New Roman" w:cs="Times New Roman"/>
          <w:sz w:val="22"/>
          <w:szCs w:val="22"/>
        </w:rPr>
        <w:t xml:space="preserve"> 2021). Collectively, these findings demonstrate that language choices in Nigerian contexts reflect sociocultural realities and require empirical investigation through systematic analysis of language data.</w:t>
      </w:r>
    </w:p>
    <w:p w14:paraId="7232CA21">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Corpus-based research on Nigerian sermons has provided important evidence that sermon discourse shows systematic linguistic organisation. Previous studies have shown that lexical choices in sermons contribute to identity construction, audience positioning, and the representation of religious meanings (Esimaje, 2012). In one of the earliest corpus investigations of Nigerian sermon discourse, a comparison of Nigerian sermons with British and American sermon corpora revealed similarities in broad theological themes but differences in lexical salience and discourse orientation. The study further identified the prominence of interpersonal pronouns, particularly </w:t>
      </w:r>
      <w:r>
        <w:rPr>
          <w:rFonts w:ascii="Times New Roman" w:hAnsi="Times New Roman" w:cs="Times New Roman"/>
          <w:i/>
          <w:iCs/>
          <w:sz w:val="22"/>
          <w:szCs w:val="22"/>
        </w:rPr>
        <w:t>you</w:t>
      </w:r>
      <w:r>
        <w:rPr>
          <w:rFonts w:ascii="Times New Roman" w:hAnsi="Times New Roman" w:cs="Times New Roman"/>
          <w:sz w:val="22"/>
          <w:szCs w:val="22"/>
        </w:rPr>
        <w:t xml:space="preserve"> and </w:t>
      </w:r>
      <w:r>
        <w:rPr>
          <w:rFonts w:ascii="Times New Roman" w:hAnsi="Times New Roman" w:cs="Times New Roman"/>
          <w:i/>
          <w:iCs/>
          <w:sz w:val="22"/>
          <w:szCs w:val="22"/>
        </w:rPr>
        <w:t>your</w:t>
      </w:r>
      <w:r>
        <w:rPr>
          <w:rFonts w:ascii="Times New Roman" w:hAnsi="Times New Roman" w:cs="Times New Roman"/>
          <w:sz w:val="22"/>
          <w:szCs w:val="22"/>
        </w:rPr>
        <w:t>, suggesting a stronger preacher–audience engagement within Nigerian sermons. It also highlighted recurring lexical fields relating to prosperity, healing, victory, and divine intervention, demonstrating that frequency patterns are connected to contextual and cultural priorities rather than occurring by chance (Esimaje, 2012).</w:t>
      </w:r>
    </w:p>
    <w:p w14:paraId="414EA761">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Since then, advances in corpus software and analytical procedures have expanded possibilities for examining lexical behaviour through frequency profiling, keyword extraction, and cluster analysis across larger datasets. There remains limited recent research that applies these techniques to contemporary Nigerian Christian sermons using broader corpora capable of capturing recurrent lexical patterns across denominations. Therefore, this study addresses that gap by examining lexical patterns in selected Nigerian Christian sermons across denominations through a corpus-based approach. The study investigates frequency patterns, prominent keywords, and lexical clustering to identify how language choices contribute to ideological representations, thematic emphasis and sermon structure by drawing on a corpus of sermons collected across multiple denominations using AntConc (version 4.4.0). </w:t>
      </w:r>
    </w:p>
    <w:p w14:paraId="0177FEF2">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Literature Review</w:t>
      </w:r>
    </w:p>
    <w:p w14:paraId="737C410F">
      <w:pPr>
        <w:spacing w:line="480" w:lineRule="auto"/>
        <w:jc w:val="both"/>
        <w:rPr>
          <w:rFonts w:ascii="Times New Roman" w:hAnsi="Times New Roman" w:cs="Times New Roman"/>
          <w:i/>
          <w:iCs/>
          <w:sz w:val="22"/>
          <w:szCs w:val="22"/>
        </w:rPr>
      </w:pPr>
      <w:r>
        <w:rPr>
          <w:rFonts w:ascii="Times New Roman" w:hAnsi="Times New Roman" w:cs="Times New Roman"/>
          <w:sz w:val="22"/>
          <w:szCs w:val="22"/>
        </w:rPr>
        <w:t xml:space="preserve">Religious discourse is a form of institutional communication in which language is transmitted as doctrinal knowledge, which can be used to construct belief systems, negotiate identity, and influence social behaviour. Within this type of communication, Christian sermons represent a highly structured and performative genre characterised by asymmetrical interaction between the preacher and the congregation. Recent corpus-based studies on religious communication emphasise that sermons are performances with different linguistic patterns, which are determined by ideological intent, audience expectations, and institutional goals (Palayon, Tudd &amp; Vungthong, 2025). In this sense, sermon discourse functions as a site where linguistic choices can be seen as both theological positioning and socio-cultural realities, which makes them a rich object of linguistic investigation (Palayon </w:t>
      </w:r>
      <w:r>
        <w:rPr>
          <w:rFonts w:ascii="Times New Roman" w:hAnsi="Times New Roman" w:cs="Times New Roman"/>
          <w:i/>
          <w:iCs/>
          <w:sz w:val="22"/>
          <w:szCs w:val="22"/>
        </w:rPr>
        <w:t xml:space="preserve">et al., </w:t>
      </w:r>
      <w:r>
        <w:rPr>
          <w:rFonts w:ascii="Times New Roman" w:hAnsi="Times New Roman" w:cs="Times New Roman"/>
          <w:sz w:val="22"/>
          <w:szCs w:val="22"/>
        </w:rPr>
        <w:t>2025).</w:t>
      </w:r>
    </w:p>
    <w:p w14:paraId="00D8D0AB">
      <w:pPr>
        <w:spacing w:line="480" w:lineRule="auto"/>
        <w:jc w:val="both"/>
        <w:rPr>
          <w:rFonts w:ascii="Times New Roman" w:hAnsi="Times New Roman" w:cs="Times New Roman"/>
          <w:sz w:val="22"/>
          <w:szCs w:val="22"/>
        </w:rPr>
      </w:pPr>
      <w:r>
        <w:rPr>
          <w:rFonts w:ascii="Times New Roman" w:hAnsi="Times New Roman" w:cs="Times New Roman"/>
          <w:sz w:val="22"/>
          <w:szCs w:val="22"/>
        </w:rPr>
        <w:t>In addition, sermons are often understood as functional texts embedded within a broader religious community of practice. They are designed to persuade, instruct, and regulate moral behaviour while simultaneously strengthening shared belief systems (Lewis, 2024). Homiletic scholarship has consistently emphasised that sermon delivery is not spontaneous but follows identifiable structural principles involving the arrangement of ideas, progression of arguments, and rhetorical staging of content (Lewis, 2024). In this sense, sermon design is understood as the deliberate organisation of material into coherent units that facilitate audience comprehension and persuasion. Although such perspectives originate from homiletics, they provide a useful foundation for understanding sermons as highly structured communicative events (Lewis, 2024). However, from a linguistic standpoint, the interest lies in how recurring lexical and syntactic patterns realise these structures in actual discourse, which is a primary concern to corpus-based approaches and language analysis. Contemporary studies of religious language reveal in their findings that such discourse often contains recurrent lexical and semantic patterns that index authority, spirituality, and moral positioning (Ayansola, 2021). These patterns emerge from the communicative demands of religious institutions that seek to maintain doctrinal coherence while engaging diverse audiences.</w:t>
      </w:r>
    </w:p>
    <w:p w14:paraId="18C9E4A6">
      <w:pPr>
        <w:spacing w:line="480" w:lineRule="auto"/>
        <w:jc w:val="both"/>
        <w:rPr>
          <w:rFonts w:ascii="Times New Roman" w:hAnsi="Times New Roman" w:cs="Times New Roman"/>
          <w:sz w:val="22"/>
          <w:szCs w:val="22"/>
        </w:rPr>
      </w:pPr>
      <w:r>
        <w:rPr>
          <w:rFonts w:ascii="Times New Roman" w:hAnsi="Times New Roman" w:cs="Times New Roman"/>
          <w:sz w:val="22"/>
          <w:szCs w:val="22"/>
        </w:rPr>
        <w:t>The systematic investigation of such linguistic regularities has been significantly advanced through corpus linguistics, which provides empirical tools for analysing large bodies of naturally occurring text. Corpus linguistics enables researchers to identify statistically significant linguistic patterns, including frequency distributions, keyword salience, collocational behaviour, and semantic preference. The central assumption underlying corpus approaches is that meaning is distributed across recurrent patterns of use within discourse (Sinclair, 1991). As a result, linguistic meaning is understood as emerging from usage, a perspective that has proven particularly valuable in the analysis of institutional discourse such as sermons.</w:t>
      </w:r>
    </w:p>
    <w:p w14:paraId="14557473">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Recent developments in corpus-assisted religious discourse analysis show an increasing shift from descriptive frequency analysis to more complex multi-layered investigations of meaning construction. For example, contemporary studies have applied corpus methods to examine gendered representations in sermons, revealing how lexical choices construct social roles and moral identities through patterned collocational networks (Elewa, 2025). Similarly, computational approaches to religious discourse detection show that religious meaning is embedded in contextual linguistic structures that require corpus-level analysis to uncover (Beijen, Pieterse, Çelik, van Peursen, Bhulai, &amp; Morren, 2025). These studies collectively highlight the growing relevance of corpus linguistics in revealing how religious meaning is linguistically constructed across different communicative settings (Beijen </w:t>
      </w:r>
      <w:r>
        <w:rPr>
          <w:rFonts w:ascii="Times New Roman" w:hAnsi="Times New Roman" w:cs="Times New Roman"/>
          <w:i/>
          <w:iCs/>
          <w:sz w:val="22"/>
          <w:szCs w:val="22"/>
        </w:rPr>
        <w:t xml:space="preserve">et al., </w:t>
      </w:r>
      <w:r>
        <w:rPr>
          <w:rFonts w:ascii="Times New Roman" w:hAnsi="Times New Roman" w:cs="Times New Roman"/>
          <w:sz w:val="22"/>
          <w:szCs w:val="22"/>
        </w:rPr>
        <w:t>2025; Elewa, 2025).</w:t>
      </w:r>
    </w:p>
    <w:p w14:paraId="2D610AFA">
      <w:pPr>
        <w:spacing w:line="480" w:lineRule="auto"/>
        <w:jc w:val="both"/>
        <w:rPr>
          <w:rFonts w:ascii="Times New Roman" w:hAnsi="Times New Roman" w:cs="Times New Roman"/>
          <w:sz w:val="22"/>
          <w:szCs w:val="22"/>
        </w:rPr>
      </w:pPr>
      <w:r>
        <w:rPr>
          <w:rFonts w:ascii="Times New Roman" w:hAnsi="Times New Roman" w:cs="Times New Roman"/>
          <w:sz w:val="22"/>
          <w:szCs w:val="22"/>
        </w:rPr>
        <w:t>One of the main analytical tools in corpus linguistics relevant to sermon analysis is keyword analysis, which identifies words that occur with statistically significant frequency in a target corpus compared to a reference corpus (Baker, 2009). Keywords function as indicators of textual “aboutness,” revealing the thematic and ideological focus of discourse (Baker, 2009; Scott, 1997). In sermon discourse, keyword analysis has been shown to reveal recurring thematic domains such as spirituality, morality, human experience, and divine intervention. These lexical patterns provide insight into how religious institutions prioritize certain aspects of human life and theological interpretation over others (Scott, 1997).</w:t>
      </w:r>
    </w:p>
    <w:p w14:paraId="7EEED492">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Closely related to keyword analysis is the study of collocation and semantic preference, which examines how words co-occur with other lexical items to produce meaning (Sinclair, 1991). Sinclair’s (1991) theory of extended units of meaning suggests that lexical items derive their meaning from habitual co-occurrence patterns rather than isolated definitions. In religious discourse, such patterns often reveal evaluative and ideological tendencies, as certain lexical items repeatedly co-occur with positive or negative semantic environments, thereby constructing specific theological orientations. Recent corpus-based studies confirm that religious texts tend to exhibit strong semantic clustering, particularly around concepts of morality, divine authority, and human agency (Palayon </w:t>
      </w:r>
      <w:r>
        <w:rPr>
          <w:rFonts w:ascii="Times New Roman" w:hAnsi="Times New Roman" w:cs="Times New Roman"/>
          <w:i/>
          <w:iCs/>
          <w:sz w:val="22"/>
          <w:szCs w:val="22"/>
        </w:rPr>
        <w:t xml:space="preserve">et al., </w:t>
      </w:r>
      <w:r>
        <w:rPr>
          <w:rFonts w:ascii="Times New Roman" w:hAnsi="Times New Roman" w:cs="Times New Roman"/>
          <w:sz w:val="22"/>
          <w:szCs w:val="22"/>
        </w:rPr>
        <w:t>2025).</w:t>
      </w:r>
    </w:p>
    <w:p w14:paraId="313AFD71">
      <w:pPr>
        <w:spacing w:line="480" w:lineRule="auto"/>
        <w:jc w:val="both"/>
        <w:rPr>
          <w:rFonts w:ascii="Times New Roman" w:hAnsi="Times New Roman" w:cs="Times New Roman"/>
          <w:sz w:val="22"/>
          <w:szCs w:val="22"/>
        </w:rPr>
      </w:pPr>
      <w:r>
        <w:rPr>
          <w:rFonts w:ascii="Times New Roman" w:hAnsi="Times New Roman" w:cs="Times New Roman"/>
          <w:sz w:val="22"/>
          <w:szCs w:val="22"/>
        </w:rPr>
        <w:t>One of the earliest corpus-informed attempts to systematically examine the linguistic features of Nigerian sermons is provided by Esimaje (2012), who situates sermon discourse within the broader framework of English for Specific Purposes (ESP), particularly English for Religious Purposes (ERP). Drawing from genre-based linguistic inquiry, the study conceptualises sermons as specialised communicative events characterised by identifiable lexical patterns, rhetorical structures, and discourse functions. The theoretical foundation is linked to the lexical tradition of Firth (1957), which highlights the contextual nature of meaning and the role of collocational relationships in understanding language use. This perspective corresponds with later developments in corpus linguistics, particularly Sinclair’s (1991; 2004) view that meaning emerges through recurring patterns of lexical association rather than isolated words. Consequently, the focus on collocation, semantic preference, and semantic prosody demonstrates how lexical choices reflect broader discourse priorities.</w:t>
      </w:r>
    </w:p>
    <w:p w14:paraId="600850EF">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Methodologically, the study adopts a corpus-based comparative approach, analysing a corpus of Nigerian Christian sermons comprising 4,816 running words alongside British and American sermon corpora of approximately 15,000 words. The analysis identifies semantic groupings that characterise sermon discourse and highlights differences in rhetorical positioning across sermon traditions. Notably, the prominence of second-person reference forms such as </w:t>
      </w:r>
      <w:r>
        <w:rPr>
          <w:rFonts w:ascii="Times New Roman" w:hAnsi="Times New Roman" w:cs="Times New Roman"/>
          <w:i/>
          <w:iCs/>
          <w:sz w:val="22"/>
          <w:szCs w:val="22"/>
        </w:rPr>
        <w:t>you</w:t>
      </w:r>
      <w:r>
        <w:rPr>
          <w:rFonts w:ascii="Times New Roman" w:hAnsi="Times New Roman" w:cs="Times New Roman"/>
          <w:sz w:val="22"/>
          <w:szCs w:val="22"/>
        </w:rPr>
        <w:t xml:space="preserve"> and </w:t>
      </w:r>
      <w:r>
        <w:rPr>
          <w:rFonts w:ascii="Times New Roman" w:hAnsi="Times New Roman" w:cs="Times New Roman"/>
          <w:i/>
          <w:iCs/>
          <w:sz w:val="22"/>
          <w:szCs w:val="22"/>
        </w:rPr>
        <w:t>your</w:t>
      </w:r>
      <w:r>
        <w:rPr>
          <w:rFonts w:ascii="Times New Roman" w:hAnsi="Times New Roman" w:cs="Times New Roman"/>
          <w:sz w:val="22"/>
          <w:szCs w:val="22"/>
        </w:rPr>
        <w:t xml:space="preserve"> in Nigerian sermons, compared with the greater use of inclusive pronouns such as </w:t>
      </w:r>
      <w:r>
        <w:rPr>
          <w:rFonts w:ascii="Times New Roman" w:hAnsi="Times New Roman" w:cs="Times New Roman"/>
          <w:i/>
          <w:iCs/>
          <w:sz w:val="22"/>
          <w:szCs w:val="22"/>
        </w:rPr>
        <w:t>we</w:t>
      </w:r>
      <w:r>
        <w:rPr>
          <w:rFonts w:ascii="Times New Roman" w:hAnsi="Times New Roman" w:cs="Times New Roman"/>
          <w:sz w:val="22"/>
          <w:szCs w:val="22"/>
        </w:rPr>
        <w:t xml:space="preserve"> and </w:t>
      </w:r>
      <w:r>
        <w:rPr>
          <w:rFonts w:ascii="Times New Roman" w:hAnsi="Times New Roman" w:cs="Times New Roman"/>
          <w:i/>
          <w:iCs/>
          <w:sz w:val="22"/>
          <w:szCs w:val="22"/>
        </w:rPr>
        <w:t>our</w:t>
      </w:r>
      <w:r>
        <w:rPr>
          <w:rFonts w:ascii="Times New Roman" w:hAnsi="Times New Roman" w:cs="Times New Roman"/>
          <w:sz w:val="22"/>
          <w:szCs w:val="22"/>
        </w:rPr>
        <w:t xml:space="preserve"> in British and American sermon corpora, suggests variations in preacher–audience engagement and communicative orientation (Esimaje, 2012).</w:t>
      </w:r>
    </w:p>
    <w:p w14:paraId="7F8B874B">
      <w:pPr>
        <w:spacing w:line="480" w:lineRule="auto"/>
        <w:jc w:val="both"/>
        <w:rPr>
          <w:rFonts w:ascii="Times New Roman" w:hAnsi="Times New Roman" w:cs="Times New Roman"/>
          <w:sz w:val="22"/>
          <w:szCs w:val="22"/>
        </w:rPr>
      </w:pPr>
      <w:r>
        <w:rPr>
          <w:rFonts w:ascii="Times New Roman" w:hAnsi="Times New Roman" w:cs="Times New Roman"/>
          <w:sz w:val="22"/>
          <w:szCs w:val="22"/>
        </w:rPr>
        <w:t>Subsequent Nigerian and African studies on sermon discourse have expanded the scope of inquiry by incorporating pragmatic, ideological, and sociolinguistic perspectives. These studies show that sermon language often reflects broader socio-economic realities, including issues of poverty, morality, authority, and social stability (Ayansola, 2021). They also highlight the persuasive function of sermons, demonstrating how linguistic choices are strategically deployed to influence audience perception and behavioural response. Nevertheless, despite these advances, much of the existing Nigerian research remains limited in its integration of large-scale corpus methodologies, particularly in relation to lexical patterning and comparative discourse analysis.</w:t>
      </w:r>
    </w:p>
    <w:p w14:paraId="26D241DB">
      <w:pPr>
        <w:spacing w:line="480" w:lineRule="auto"/>
        <w:jc w:val="both"/>
        <w:rPr>
          <w:rFonts w:ascii="Times New Roman" w:hAnsi="Times New Roman" w:cs="Times New Roman"/>
          <w:sz w:val="22"/>
          <w:szCs w:val="22"/>
        </w:rPr>
      </w:pPr>
      <w:r>
        <w:rPr>
          <w:rFonts w:ascii="Times New Roman" w:hAnsi="Times New Roman" w:cs="Times New Roman"/>
          <w:sz w:val="22"/>
          <w:szCs w:val="22"/>
        </w:rPr>
        <w:t>Recent advances in computational linguistics further demonstrate the increasing sophistication of corpus-based religious discourse studies. Large-scale annotated corpora and machine-assisted analysis now allow for deeper investigation of semantic structure, thematic clustering, and discourse variation across religious contexts (Rezwan et al., 2025). These developments indicate a shift toward more computationally enriched approaches that move beyond surface-level lexical analysis to include multi-layered semantic interpretation and cross-textual comparison. Such methodological advancements underscore the potential for more nuanced analysis of sermon discourse, particularly in understudied contexts such as Nigerian Christian preaching traditions.</w:t>
      </w:r>
    </w:p>
    <w:p w14:paraId="63CEB16A">
      <w:pPr>
        <w:spacing w:line="480" w:lineRule="auto"/>
        <w:jc w:val="both"/>
        <w:rPr>
          <w:rFonts w:ascii="Times New Roman" w:hAnsi="Times New Roman" w:cs="Times New Roman"/>
          <w:sz w:val="22"/>
          <w:szCs w:val="22"/>
        </w:rPr>
      </w:pPr>
      <w:r>
        <w:rPr>
          <w:rFonts w:ascii="Times New Roman" w:hAnsi="Times New Roman" w:cs="Times New Roman"/>
          <w:sz w:val="22"/>
          <w:szCs w:val="22"/>
        </w:rPr>
        <w:t>Despite the growing body of international and computational research on religious discourse, there remains a noticeable gap in corpus-based studies of Nigerian Christian sermons that integrate lexical patterning with broader discourse structures. Existing studies have largely focused on either lexical frequency or pragmatic features in isolation, without fully exploring how lexical patterns interact with rhetorical organisation and thematic progression. Moreover, there is limited recent empirical work that specifically examines Nigerian sermon discourse using updated corpus methodologies and large, representative datasets. This gap justifies the need for further research that combines lexical, semantic, and discourse-level analysis to provide a more comprehensive understanding of sermon language in Nigeria.</w:t>
      </w:r>
    </w:p>
    <w:p w14:paraId="7507CFA8">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Theoretical Framework </w:t>
      </w:r>
    </w:p>
    <w:p w14:paraId="47B6560B">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This study is grounded in Systemic Functional Linguistics (SFL), developed by M.A.K. Halliday and further elaborated in </w:t>
      </w:r>
      <w:r>
        <w:rPr>
          <w:rFonts w:ascii="Times New Roman" w:hAnsi="Times New Roman" w:cs="Times New Roman"/>
          <w:i/>
          <w:iCs/>
          <w:sz w:val="22"/>
          <w:szCs w:val="22"/>
        </w:rPr>
        <w:t>An Introduction to Functional Grammar</w:t>
      </w:r>
      <w:r>
        <w:rPr>
          <w:rFonts w:ascii="Times New Roman" w:hAnsi="Times New Roman" w:cs="Times New Roman"/>
          <w:sz w:val="22"/>
          <w:szCs w:val="22"/>
        </w:rPr>
        <w:t>. SFL views language as a functional resource used by speakers to make meaning within specific social contexts (Halliday &amp; Matthiessen, 2014). In contrast to approaches that treat language as a set of abstract rules, SFL is concerned with how language is used in real-life situations to achieve particular purposes. This perspective is particularly relevant to sermon discourse, where language is deliberately selected to communicate religious ideas, influence behaviour, and engage a listening audience.</w:t>
      </w:r>
    </w:p>
    <w:p w14:paraId="390FC122">
      <w:pPr>
        <w:spacing w:line="480" w:lineRule="auto"/>
        <w:jc w:val="both"/>
        <w:rPr>
          <w:rFonts w:ascii="Times New Roman" w:hAnsi="Times New Roman" w:cs="Times New Roman"/>
          <w:sz w:val="22"/>
          <w:szCs w:val="22"/>
        </w:rPr>
      </w:pPr>
      <w:r>
        <w:rPr>
          <w:rFonts w:ascii="Times New Roman" w:hAnsi="Times New Roman" w:cs="Times New Roman"/>
          <w:sz w:val="22"/>
          <w:szCs w:val="22"/>
        </w:rPr>
        <w:t>SFL is adopted because it provides a clear framework for interpreting the lexical patterns identified through corpus analysis. While corpus linguistics reveals what words and expressions occur frequently in Nigerian sermons, it does not, on its own, explain why these patterns occur or what they mean in context. SFL fills this gap by linking linguistic choices to their communicative functions. This simply means that the study positions itself at the intersection of corpus linguistics and functional analysis: the corpus identifies recurring lexical patterns, while SFL explains how these patterns function as meaning-making resources in sermon discourse.</w:t>
      </w:r>
    </w:p>
    <w:p w14:paraId="2C7106BA">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A key principle of SFL is that language simultaneously performs three metafunctions: ideational, interpersonal, and textual (Halliday, 1978; Halliday &amp; Matthiessen, 2014). These metafunctions provide a useful lens for understanding the findings of this study. Although SFL recognises three metafunctions of language, this study emphasises more on the ideational metafunction because of its relevance to examining how lexical patterns represent experience and meaning in sermon discourse. The ideational metafunction explains how language is used to organise human experience and present certain understandings of reality (Halliday &amp; Matthiessen, 2014). In sermons, this becomes important because recurring lexical patterns contribute to the construction of specific religious worldviews. Thus, the repeated occurrence of words such as </w:t>
      </w:r>
      <w:r>
        <w:rPr>
          <w:rFonts w:ascii="Times New Roman" w:hAnsi="Times New Roman" w:cs="Times New Roman"/>
          <w:i/>
          <w:iCs/>
          <w:sz w:val="22"/>
          <w:szCs w:val="22"/>
        </w:rPr>
        <w:t>God</w:t>
      </w:r>
      <w:r>
        <w:rPr>
          <w:rFonts w:ascii="Times New Roman" w:hAnsi="Times New Roman" w:cs="Times New Roman"/>
          <w:sz w:val="22"/>
          <w:szCs w:val="22"/>
        </w:rPr>
        <w:t xml:space="preserve">, </w:t>
      </w:r>
      <w:r>
        <w:rPr>
          <w:rFonts w:ascii="Times New Roman" w:hAnsi="Times New Roman" w:cs="Times New Roman"/>
          <w:i/>
          <w:iCs/>
          <w:sz w:val="22"/>
          <w:szCs w:val="22"/>
        </w:rPr>
        <w:t>Jesus</w:t>
      </w:r>
      <w:r>
        <w:rPr>
          <w:rFonts w:ascii="Times New Roman" w:hAnsi="Times New Roman" w:cs="Times New Roman"/>
          <w:sz w:val="22"/>
          <w:szCs w:val="22"/>
        </w:rPr>
        <w:t xml:space="preserve">, </w:t>
      </w:r>
      <w:r>
        <w:rPr>
          <w:rFonts w:ascii="Times New Roman" w:hAnsi="Times New Roman" w:cs="Times New Roman"/>
          <w:i/>
          <w:iCs/>
          <w:sz w:val="22"/>
          <w:szCs w:val="22"/>
        </w:rPr>
        <w:t>faith</w:t>
      </w:r>
      <w:r>
        <w:rPr>
          <w:rFonts w:ascii="Times New Roman" w:hAnsi="Times New Roman" w:cs="Times New Roman"/>
          <w:sz w:val="22"/>
          <w:szCs w:val="22"/>
        </w:rPr>
        <w:t xml:space="preserve">, </w:t>
      </w:r>
      <w:r>
        <w:rPr>
          <w:rFonts w:ascii="Times New Roman" w:hAnsi="Times New Roman" w:cs="Times New Roman"/>
          <w:i/>
          <w:iCs/>
          <w:sz w:val="22"/>
          <w:szCs w:val="22"/>
        </w:rPr>
        <w:t>spirit</w:t>
      </w:r>
      <w:r>
        <w:rPr>
          <w:rFonts w:ascii="Times New Roman" w:hAnsi="Times New Roman" w:cs="Times New Roman"/>
          <w:sz w:val="22"/>
          <w:szCs w:val="22"/>
        </w:rPr>
        <w:t xml:space="preserve">, </w:t>
      </w:r>
      <w:r>
        <w:rPr>
          <w:rFonts w:ascii="Times New Roman" w:hAnsi="Times New Roman" w:cs="Times New Roman"/>
          <w:i/>
          <w:iCs/>
          <w:sz w:val="22"/>
          <w:szCs w:val="22"/>
        </w:rPr>
        <w:t>power</w:t>
      </w:r>
      <w:r>
        <w:rPr>
          <w:rFonts w:ascii="Times New Roman" w:hAnsi="Times New Roman" w:cs="Times New Roman"/>
          <w:sz w:val="22"/>
          <w:szCs w:val="22"/>
        </w:rPr>
        <w:t xml:space="preserve">, and </w:t>
      </w:r>
      <w:r>
        <w:rPr>
          <w:rFonts w:ascii="Times New Roman" w:hAnsi="Times New Roman" w:cs="Times New Roman"/>
          <w:i/>
          <w:iCs/>
          <w:sz w:val="22"/>
          <w:szCs w:val="22"/>
        </w:rPr>
        <w:t>life</w:t>
      </w:r>
      <w:r>
        <w:rPr>
          <w:rFonts w:ascii="Times New Roman" w:hAnsi="Times New Roman" w:cs="Times New Roman"/>
          <w:sz w:val="22"/>
          <w:szCs w:val="22"/>
        </w:rPr>
        <w:t xml:space="preserve"> is interpreted as a pattern through which preachers foreground ideas about divine authority, spiritual transformation, and the relationship between human experience and faith. From this perspective, lexical patterns become resources through which ideological representations are organised and sustained.</w:t>
      </w:r>
    </w:p>
    <w:p w14:paraId="071BCB17">
      <w:pPr>
        <w:spacing w:line="480" w:lineRule="auto"/>
        <w:jc w:val="both"/>
        <w:rPr>
          <w:rFonts w:ascii="Times New Roman" w:hAnsi="Times New Roman" w:cs="Times New Roman"/>
          <w:sz w:val="22"/>
          <w:szCs w:val="22"/>
        </w:rPr>
      </w:pPr>
      <w:r>
        <w:rPr>
          <w:rFonts w:ascii="Times New Roman" w:hAnsi="Times New Roman" w:cs="Times New Roman"/>
          <w:sz w:val="22"/>
          <w:szCs w:val="22"/>
        </w:rPr>
        <w:t>In this study, SFL is not used in isolation but as a complementary framework that enhances corpus-based analysis. The study argues that frequent lexical items and recurring clusters in Nigerian sermons are not random occurrences but functional choices shaped by communicative goals and contextual factors. Based on the application of the ideational metafunction of SFL, the study identifies recurring words in Christian sermons and explains how sermon lexical patterns are utilised in constructing religious meaning. This makes it possible to account for both the patterns of language use and the ideological representations that emerge from sermon discourse.</w:t>
      </w:r>
    </w:p>
    <w:p w14:paraId="504AE9B3">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Methodology</w:t>
      </w:r>
    </w:p>
    <w:p w14:paraId="66F941C1">
      <w:pPr>
        <w:spacing w:line="480" w:lineRule="auto"/>
        <w:jc w:val="both"/>
        <w:rPr>
          <w:rFonts w:ascii="Times New Roman" w:hAnsi="Times New Roman" w:cs="Times New Roman"/>
          <w:sz w:val="22"/>
          <w:szCs w:val="22"/>
        </w:rPr>
      </w:pPr>
      <w:r>
        <w:rPr>
          <w:rFonts w:ascii="Times New Roman" w:hAnsi="Times New Roman" w:cs="Times New Roman"/>
          <w:sz w:val="22"/>
          <w:szCs w:val="22"/>
        </w:rPr>
        <w:t>This study adopts a corpus-based approach to examine how lexical patterns in Nigerian Christian sermons determine ideological representations. Corpus linguistics is suitable for this study because it provides systematic methods for identifying recurring linguistic patterns, distributional tendencies, and lexical relationships within naturally occurring texts (Biber et al., 1998). The study employs a mixed analytical approach, which combines quantitative corpus analysis with qualitative discourse interpretation. The quantitative component identifies recurrent lexical features through frequency counts, keyword analysis, and cluster patterns, while the qualitative component examines how these linguistic patterns contribute to ideological meanings and thematic representations within sermon discourse.</w:t>
      </w:r>
    </w:p>
    <w:p w14:paraId="64F468A5">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 data consists of thirty sermons drawn from ten Christian denominations in Nigeria, including Pentecostal, Orthodox, and Protestant traditions. Three sermons were selected from each denomination to ensure balanced representation. The sermons were purposively selected based on availability and clarity, and only English-language sermons were included. The resulting corpus contains 90,589 tokens. </w:t>
      </w:r>
    </w:p>
    <w:p w14:paraId="0F5F5C02">
      <w:pPr>
        <w:spacing w:line="480" w:lineRule="auto"/>
        <w:jc w:val="both"/>
        <w:rPr>
          <w:rFonts w:ascii="Times New Roman" w:hAnsi="Times New Roman" w:cs="Times New Roman"/>
          <w:sz w:val="22"/>
          <w:szCs w:val="22"/>
        </w:rPr>
      </w:pPr>
      <w:r>
        <w:rPr>
          <w:rFonts w:ascii="Times New Roman" w:hAnsi="Times New Roman" w:cs="Times New Roman"/>
          <w:sz w:val="22"/>
          <w:szCs w:val="22"/>
        </w:rPr>
        <w:t>The analysis was conducted using AntConc (version 4.4.0). Four analytical procedures were employed. First, frequency analysis was used to identify the most common lexical items in the corpus. Second, keyword analysis was carried out by comparing the sermon corpus with a reference corpus using the log-likelihood (LL) statistic (Scott, 1997). This helped to identify words that are particularly characteristic of Nigerian sermon discourse. Third, selected lexical items were grouped into semantic categories to highlight thematic patterns. Finally, cluster (N-gram) analysis was used to identify recurrent multi-word expressions. Therefore, this methodological approach allows the study to identify not only frequent lexical items, but also the patterns through which meaning is constructed in Nigerian sermons. The use of a relatively large and diverse corpus enhances the reliability of the findings and provides a broader representation of sermon discourse across denominations.</w:t>
      </w:r>
    </w:p>
    <w:p w14:paraId="585978F0">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Discussion of Results</w:t>
      </w:r>
    </w:p>
    <w:p w14:paraId="7B818293">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Corpus Description </w:t>
      </w:r>
    </w:p>
    <w:p w14:paraId="233075C1">
      <w:pPr>
        <w:spacing w:line="24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Table 1: Composition of the Sermon Corpus </w:t>
      </w:r>
    </w:p>
    <w:tbl>
      <w:tblPr>
        <w:tblStyle w:val="46"/>
        <w:tblW w:w="10349" w:type="dxa"/>
        <w:tblInd w:w="-8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61"/>
        <w:gridCol w:w="3402"/>
        <w:gridCol w:w="1843"/>
        <w:gridCol w:w="1843"/>
      </w:tblGrid>
      <w:tr w14:paraId="164D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tcBorders>
              <w:top w:val="single" w:color="auto" w:sz="4" w:space="0"/>
              <w:bottom w:val="single" w:color="auto" w:sz="4" w:space="0"/>
            </w:tcBorders>
          </w:tcPr>
          <w:p w14:paraId="15222922">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Name of Chu</w:t>
            </w:r>
            <w:r>
              <w:rPr>
                <w:rFonts w:ascii="Times New Roman" w:hAnsi="Times New Roman" w:eastAsia="DengXian" w:cs="Times New Roman"/>
                <w:b/>
                <w:bCs/>
                <w:kern w:val="0"/>
                <w:sz w:val="20"/>
                <w:szCs w:val="20"/>
                <w:lang w:eastAsia="en-GB"/>
                <w14:ligatures w14:val="none"/>
              </w:rPr>
              <w:t>rch</w:t>
            </w:r>
          </w:p>
        </w:tc>
        <w:tc>
          <w:tcPr>
            <w:tcW w:w="3402" w:type="dxa"/>
            <w:tcBorders>
              <w:top w:val="single" w:color="auto" w:sz="4" w:space="0"/>
              <w:bottom w:val="single" w:color="auto" w:sz="4" w:space="0"/>
            </w:tcBorders>
          </w:tcPr>
          <w:p w14:paraId="5A90C3C8">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Se</w:t>
            </w:r>
            <w:r>
              <w:rPr>
                <w:rFonts w:ascii="Times New Roman" w:hAnsi="Times New Roman" w:eastAsia="DengXian" w:cs="Times New Roman"/>
                <w:b/>
                <w:bCs/>
                <w:kern w:val="0"/>
                <w:sz w:val="20"/>
                <w:szCs w:val="20"/>
                <w:lang w:eastAsia="en-GB"/>
                <w14:ligatures w14:val="none"/>
              </w:rPr>
              <w:t>rmon Title</w:t>
            </w:r>
          </w:p>
        </w:tc>
        <w:tc>
          <w:tcPr>
            <w:tcW w:w="1843" w:type="dxa"/>
            <w:tcBorders>
              <w:top w:val="single" w:color="auto" w:sz="4" w:space="0"/>
              <w:bottom w:val="single" w:color="auto" w:sz="4" w:space="0"/>
            </w:tcBorders>
          </w:tcPr>
          <w:p w14:paraId="7EB3C5F7">
            <w:pPr>
              <w:spacing w:after="120" w:line="240" w:lineRule="auto"/>
              <w:ind w:right="43"/>
              <w:jc w:val="center"/>
              <w:rPr>
                <w:rFonts w:ascii="Times New Roman" w:hAnsi="Times New Roman" w:eastAsia="DengXian" w:cs="Times New Roman"/>
                <w:b/>
                <w:bCs/>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Tokens</w:t>
            </w:r>
            <w:r>
              <w:rPr>
                <w:rFonts w:ascii="Times New Roman" w:hAnsi="Times New Roman" w:eastAsia="DengXian" w:cs="Times New Roman"/>
                <w:b/>
                <w:bCs/>
                <w:kern w:val="0"/>
                <w:sz w:val="20"/>
                <w:szCs w:val="20"/>
                <w:lang w:eastAsia="en-GB"/>
                <w14:ligatures w14:val="none"/>
              </w:rPr>
              <w:t xml:space="preserve"> per Sermon</w:t>
            </w:r>
          </w:p>
        </w:tc>
        <w:tc>
          <w:tcPr>
            <w:tcW w:w="1843" w:type="dxa"/>
            <w:tcBorders>
              <w:top w:val="single" w:color="auto" w:sz="4" w:space="0"/>
              <w:bottom w:val="single" w:color="auto" w:sz="4" w:space="0"/>
            </w:tcBorders>
          </w:tcPr>
          <w:p w14:paraId="51BE8DAA">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 xml:space="preserve">Total Tokens </w:t>
            </w:r>
            <w:r>
              <w:rPr>
                <w:rFonts w:ascii="Times New Roman" w:hAnsi="Times New Roman" w:eastAsia="DengXian" w:cs="Times New Roman"/>
                <w:b/>
                <w:bCs/>
                <w:kern w:val="0"/>
                <w:sz w:val="20"/>
                <w:szCs w:val="20"/>
                <w:lang w:eastAsia="en-GB"/>
                <w14:ligatures w14:val="none"/>
              </w:rPr>
              <w:t>per Church</w:t>
            </w:r>
          </w:p>
        </w:tc>
      </w:tr>
      <w:tr w14:paraId="428C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39148FE0">
            <w:pPr>
              <w:spacing w:after="120" w:line="240" w:lineRule="auto"/>
              <w:ind w:right="43"/>
              <w:rPr>
                <w:rFonts w:ascii="Times New Roman" w:hAnsi="Times New Roman" w:eastAsia="Calibri" w:cs="Times New Roman"/>
                <w:b/>
                <w:color w:val="000000"/>
                <w:kern w:val="0"/>
                <w:sz w:val="20"/>
                <w:szCs w:val="20"/>
                <w:lang w:eastAsia="en-GB"/>
                <w14:ligatures w14:val="none"/>
              </w:rPr>
            </w:pPr>
            <w:r>
              <w:rPr>
                <w:rFonts w:ascii="Times New Roman" w:hAnsi="Times New Roman" w:eastAsia="DengXian" w:cs="Times New Roman"/>
                <w:b/>
                <w:bCs/>
                <w:kern w:val="0"/>
                <w:sz w:val="20"/>
                <w:szCs w:val="20"/>
                <w:lang w:eastAsia="en-GB"/>
                <w14:ligatures w14:val="none"/>
              </w:rPr>
              <w:t>Redeemed Christian Church of God (RCCG)</w:t>
            </w:r>
          </w:p>
        </w:tc>
        <w:tc>
          <w:tcPr>
            <w:tcW w:w="3402" w:type="dxa"/>
            <w:tcBorders>
              <w:top w:val="single" w:color="auto" w:sz="4" w:space="0"/>
            </w:tcBorders>
          </w:tcPr>
          <w:p w14:paraId="64E04C61">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On Eagle’s Wings</w:t>
            </w:r>
          </w:p>
        </w:tc>
        <w:tc>
          <w:tcPr>
            <w:tcW w:w="1843" w:type="dxa"/>
            <w:tcBorders>
              <w:top w:val="single" w:color="auto" w:sz="4" w:space="0"/>
            </w:tcBorders>
          </w:tcPr>
          <w:p w14:paraId="0BDF146F">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2684</w:t>
            </w:r>
          </w:p>
        </w:tc>
        <w:tc>
          <w:tcPr>
            <w:tcW w:w="1843" w:type="dxa"/>
            <w:vMerge w:val="restart"/>
            <w:tcBorders>
              <w:top w:val="single" w:color="auto" w:sz="4" w:space="0"/>
            </w:tcBorders>
          </w:tcPr>
          <w:p w14:paraId="081FAF15">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7475</w:t>
            </w:r>
          </w:p>
        </w:tc>
      </w:tr>
      <w:tr w14:paraId="7265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224120C8">
            <w:pPr>
              <w:spacing w:after="120" w:line="240" w:lineRule="auto"/>
              <w:ind w:right="43"/>
              <w:rPr>
                <w:rFonts w:ascii="Times New Roman" w:hAnsi="Times New Roman" w:eastAsia="DengXian" w:cs="Times New Roman"/>
                <w:b/>
                <w:bCs/>
                <w:kern w:val="0"/>
                <w:sz w:val="20"/>
                <w:szCs w:val="20"/>
                <w:lang w:eastAsia="en-GB"/>
                <w14:ligatures w14:val="none"/>
              </w:rPr>
            </w:pPr>
          </w:p>
        </w:tc>
        <w:tc>
          <w:tcPr>
            <w:tcW w:w="3402" w:type="dxa"/>
          </w:tcPr>
          <w:p w14:paraId="37935E31">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How to Stay on Fire for God</w:t>
            </w:r>
          </w:p>
        </w:tc>
        <w:tc>
          <w:tcPr>
            <w:tcW w:w="1843" w:type="dxa"/>
          </w:tcPr>
          <w:p w14:paraId="2B9146DC">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2703</w:t>
            </w:r>
          </w:p>
        </w:tc>
        <w:tc>
          <w:tcPr>
            <w:tcW w:w="1843" w:type="dxa"/>
            <w:vMerge w:val="continue"/>
          </w:tcPr>
          <w:p w14:paraId="7F581D37">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391D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45E1E475">
            <w:pPr>
              <w:spacing w:after="120" w:line="240" w:lineRule="auto"/>
              <w:ind w:right="43"/>
              <w:rPr>
                <w:rFonts w:ascii="Times New Roman" w:hAnsi="Times New Roman" w:eastAsia="DengXian" w:cs="Times New Roman"/>
                <w:b/>
                <w:bCs/>
                <w:kern w:val="0"/>
                <w:sz w:val="20"/>
                <w:szCs w:val="20"/>
                <w:lang w:eastAsia="en-GB"/>
                <w14:ligatures w14:val="none"/>
              </w:rPr>
            </w:pPr>
          </w:p>
        </w:tc>
        <w:tc>
          <w:tcPr>
            <w:tcW w:w="3402" w:type="dxa"/>
            <w:tcBorders>
              <w:bottom w:val="single" w:color="auto" w:sz="4" w:space="0"/>
            </w:tcBorders>
          </w:tcPr>
          <w:p w14:paraId="060644E2">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The Wonders of the Lord’s Table</w:t>
            </w:r>
          </w:p>
        </w:tc>
        <w:tc>
          <w:tcPr>
            <w:tcW w:w="1843" w:type="dxa"/>
            <w:tcBorders>
              <w:bottom w:val="single" w:color="auto" w:sz="4" w:space="0"/>
            </w:tcBorders>
          </w:tcPr>
          <w:p w14:paraId="398D468D">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2088</w:t>
            </w:r>
          </w:p>
        </w:tc>
        <w:tc>
          <w:tcPr>
            <w:tcW w:w="1843" w:type="dxa"/>
            <w:vMerge w:val="continue"/>
            <w:tcBorders>
              <w:bottom w:val="single" w:color="auto" w:sz="4" w:space="0"/>
            </w:tcBorders>
          </w:tcPr>
          <w:p w14:paraId="7BD86EC1">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060D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48274A47">
            <w:pPr>
              <w:spacing w:after="120" w:line="240" w:lineRule="auto"/>
              <w:ind w:right="43"/>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Global Ha</w:t>
            </w:r>
            <w:r>
              <w:rPr>
                <w:rFonts w:ascii="Times New Roman" w:hAnsi="Times New Roman" w:eastAsia="DengXian" w:cs="Times New Roman"/>
                <w:b/>
                <w:bCs/>
                <w:kern w:val="0"/>
                <w:sz w:val="20"/>
                <w:szCs w:val="20"/>
                <w:lang w:eastAsia="en-GB"/>
                <w14:ligatures w14:val="none"/>
              </w:rPr>
              <w:t>rvest Church</w:t>
            </w:r>
          </w:p>
        </w:tc>
        <w:tc>
          <w:tcPr>
            <w:tcW w:w="3402" w:type="dxa"/>
            <w:tcBorders>
              <w:top w:val="single" w:color="auto" w:sz="4" w:space="0"/>
            </w:tcBorders>
          </w:tcPr>
          <w:p w14:paraId="26595811">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Count It All Joy</w:t>
            </w:r>
          </w:p>
        </w:tc>
        <w:tc>
          <w:tcPr>
            <w:tcW w:w="1843" w:type="dxa"/>
            <w:tcBorders>
              <w:top w:val="single" w:color="auto" w:sz="4" w:space="0"/>
            </w:tcBorders>
          </w:tcPr>
          <w:p w14:paraId="4C944896">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5204</w:t>
            </w:r>
          </w:p>
        </w:tc>
        <w:tc>
          <w:tcPr>
            <w:tcW w:w="1843" w:type="dxa"/>
            <w:vMerge w:val="restart"/>
            <w:tcBorders>
              <w:top w:val="single" w:color="auto" w:sz="4" w:space="0"/>
            </w:tcBorders>
          </w:tcPr>
          <w:p w14:paraId="6FB1761C">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15142</w:t>
            </w:r>
          </w:p>
        </w:tc>
      </w:tr>
      <w:tr w14:paraId="3C3C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3C9097C3">
            <w:pPr>
              <w:spacing w:after="120" w:line="240" w:lineRule="auto"/>
              <w:ind w:right="43"/>
              <w:rPr>
                <w:rFonts w:ascii="Times New Roman" w:hAnsi="Times New Roman" w:eastAsia="Calibri" w:cs="Times New Roman"/>
                <w:b/>
                <w:color w:val="000000"/>
                <w:kern w:val="0"/>
                <w:sz w:val="20"/>
                <w:szCs w:val="20"/>
                <w:lang w:eastAsia="en-GB"/>
                <w14:ligatures w14:val="none"/>
              </w:rPr>
            </w:pPr>
          </w:p>
        </w:tc>
        <w:tc>
          <w:tcPr>
            <w:tcW w:w="3402" w:type="dxa"/>
          </w:tcPr>
          <w:p w14:paraId="121AF04E">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Expect Your Harvest</w:t>
            </w:r>
          </w:p>
        </w:tc>
        <w:tc>
          <w:tcPr>
            <w:tcW w:w="1843" w:type="dxa"/>
          </w:tcPr>
          <w:p w14:paraId="2E81995C">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4714</w:t>
            </w:r>
          </w:p>
        </w:tc>
        <w:tc>
          <w:tcPr>
            <w:tcW w:w="1843" w:type="dxa"/>
            <w:vMerge w:val="continue"/>
          </w:tcPr>
          <w:p w14:paraId="3CE51AAA">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15289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02AECDAC">
            <w:pPr>
              <w:spacing w:after="120" w:line="240" w:lineRule="auto"/>
              <w:ind w:right="43"/>
              <w:rPr>
                <w:rFonts w:ascii="Times New Roman" w:hAnsi="Times New Roman" w:eastAsia="Calibri" w:cs="Times New Roman"/>
                <w:b/>
                <w:color w:val="000000"/>
                <w:kern w:val="0"/>
                <w:sz w:val="20"/>
                <w:szCs w:val="20"/>
                <w:lang w:eastAsia="en-GB"/>
                <w14:ligatures w14:val="none"/>
              </w:rPr>
            </w:pPr>
          </w:p>
        </w:tc>
        <w:tc>
          <w:tcPr>
            <w:tcW w:w="3402" w:type="dxa"/>
            <w:tcBorders>
              <w:bottom w:val="single" w:color="auto" w:sz="4" w:space="0"/>
            </w:tcBorders>
          </w:tcPr>
          <w:p w14:paraId="0714ECD2">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Rebuilding the Foundations</w:t>
            </w:r>
          </w:p>
        </w:tc>
        <w:tc>
          <w:tcPr>
            <w:tcW w:w="1843" w:type="dxa"/>
            <w:tcBorders>
              <w:bottom w:val="single" w:color="auto" w:sz="4" w:space="0"/>
            </w:tcBorders>
          </w:tcPr>
          <w:p w14:paraId="48CDE3A5">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5224</w:t>
            </w:r>
          </w:p>
        </w:tc>
        <w:tc>
          <w:tcPr>
            <w:tcW w:w="1843" w:type="dxa"/>
            <w:vMerge w:val="continue"/>
            <w:tcBorders>
              <w:bottom w:val="single" w:color="auto" w:sz="4" w:space="0"/>
            </w:tcBorders>
          </w:tcPr>
          <w:p w14:paraId="1DA319FC">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52550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5111C285">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All Soul’s Anglican Chu</w:t>
            </w:r>
            <w:r>
              <w:rPr>
                <w:rFonts w:ascii="Times New Roman" w:hAnsi="Times New Roman" w:eastAsia="DengXian" w:cs="Times New Roman"/>
                <w:b/>
                <w:bCs/>
                <w:kern w:val="0"/>
                <w:sz w:val="20"/>
                <w:szCs w:val="20"/>
                <w:lang w:eastAsia="en-GB"/>
                <w14:ligatures w14:val="none"/>
              </w:rPr>
              <w:t>rch</w:t>
            </w:r>
          </w:p>
        </w:tc>
        <w:tc>
          <w:tcPr>
            <w:tcW w:w="3402" w:type="dxa"/>
            <w:tcBorders>
              <w:top w:val="single" w:color="auto" w:sz="4" w:space="0"/>
            </w:tcBorders>
          </w:tcPr>
          <w:p w14:paraId="316058EF">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Peace Be Still</w:t>
            </w:r>
          </w:p>
        </w:tc>
        <w:tc>
          <w:tcPr>
            <w:tcW w:w="1843" w:type="dxa"/>
            <w:tcBorders>
              <w:top w:val="single" w:color="auto" w:sz="4" w:space="0"/>
            </w:tcBorders>
          </w:tcPr>
          <w:p w14:paraId="5840A2E3">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1864</w:t>
            </w:r>
          </w:p>
        </w:tc>
        <w:tc>
          <w:tcPr>
            <w:tcW w:w="1843" w:type="dxa"/>
            <w:vMerge w:val="restart"/>
            <w:tcBorders>
              <w:top w:val="single" w:color="auto" w:sz="4" w:space="0"/>
            </w:tcBorders>
          </w:tcPr>
          <w:p w14:paraId="42B5C50B">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8667</w:t>
            </w:r>
          </w:p>
        </w:tc>
      </w:tr>
      <w:tr w14:paraId="799F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22882988">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5CAE0798">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Be Prepared</w:t>
            </w:r>
          </w:p>
        </w:tc>
        <w:tc>
          <w:tcPr>
            <w:tcW w:w="1843" w:type="dxa"/>
          </w:tcPr>
          <w:p w14:paraId="1B662D1C">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3433</w:t>
            </w:r>
          </w:p>
        </w:tc>
        <w:tc>
          <w:tcPr>
            <w:tcW w:w="1843" w:type="dxa"/>
            <w:vMerge w:val="continue"/>
          </w:tcPr>
          <w:p w14:paraId="39DD4B50">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30DE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642132BB">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68A41742">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Who Am I?</w:t>
            </w:r>
          </w:p>
        </w:tc>
        <w:tc>
          <w:tcPr>
            <w:tcW w:w="1843" w:type="dxa"/>
            <w:tcBorders>
              <w:bottom w:val="single" w:color="auto" w:sz="4" w:space="0"/>
            </w:tcBorders>
          </w:tcPr>
          <w:p w14:paraId="7A1D2B52">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3370</w:t>
            </w:r>
          </w:p>
        </w:tc>
        <w:tc>
          <w:tcPr>
            <w:tcW w:w="1843" w:type="dxa"/>
            <w:vMerge w:val="continue"/>
            <w:tcBorders>
              <w:bottom w:val="single" w:color="auto" w:sz="4" w:space="0"/>
            </w:tcBorders>
          </w:tcPr>
          <w:p w14:paraId="4C13DBA7">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6F07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630941A2">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Fi</w:t>
            </w:r>
            <w:r>
              <w:rPr>
                <w:rFonts w:ascii="Times New Roman" w:hAnsi="Times New Roman" w:eastAsia="DengXian" w:cs="Times New Roman"/>
                <w:b/>
                <w:bCs/>
                <w:kern w:val="0"/>
                <w:sz w:val="20"/>
                <w:szCs w:val="20"/>
                <w:lang w:eastAsia="en-GB"/>
                <w14:ligatures w14:val="none"/>
              </w:rPr>
              <w:t>rst Baptist Church</w:t>
            </w:r>
          </w:p>
        </w:tc>
        <w:tc>
          <w:tcPr>
            <w:tcW w:w="3402" w:type="dxa"/>
            <w:tcBorders>
              <w:top w:val="single" w:color="auto" w:sz="4" w:space="0"/>
            </w:tcBorders>
          </w:tcPr>
          <w:p w14:paraId="7527DE5B">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Whose Son Are You</w:t>
            </w:r>
          </w:p>
        </w:tc>
        <w:tc>
          <w:tcPr>
            <w:tcW w:w="1843" w:type="dxa"/>
            <w:tcBorders>
              <w:top w:val="single" w:color="auto" w:sz="4" w:space="0"/>
            </w:tcBorders>
          </w:tcPr>
          <w:p w14:paraId="158A4897">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3195</w:t>
            </w:r>
          </w:p>
        </w:tc>
        <w:tc>
          <w:tcPr>
            <w:tcW w:w="1843" w:type="dxa"/>
            <w:vMerge w:val="restart"/>
            <w:tcBorders>
              <w:top w:val="single" w:color="auto" w:sz="4" w:space="0"/>
            </w:tcBorders>
          </w:tcPr>
          <w:p w14:paraId="750F8253">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9981</w:t>
            </w:r>
          </w:p>
        </w:tc>
      </w:tr>
      <w:tr w14:paraId="0A8E4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10340405">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368AE14C">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But Who Are You</w:t>
            </w:r>
          </w:p>
        </w:tc>
        <w:tc>
          <w:tcPr>
            <w:tcW w:w="1843" w:type="dxa"/>
          </w:tcPr>
          <w:p w14:paraId="08F20445">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2854</w:t>
            </w:r>
          </w:p>
        </w:tc>
        <w:tc>
          <w:tcPr>
            <w:tcW w:w="1843" w:type="dxa"/>
            <w:vMerge w:val="continue"/>
          </w:tcPr>
          <w:p w14:paraId="479A6E82">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4F9B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0F670269">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7DD440EB">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This Too Shall Go Away</w:t>
            </w:r>
          </w:p>
        </w:tc>
        <w:tc>
          <w:tcPr>
            <w:tcW w:w="1843" w:type="dxa"/>
            <w:tcBorders>
              <w:bottom w:val="single" w:color="auto" w:sz="4" w:space="0"/>
            </w:tcBorders>
          </w:tcPr>
          <w:p w14:paraId="52CB8236">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3932</w:t>
            </w:r>
          </w:p>
        </w:tc>
        <w:tc>
          <w:tcPr>
            <w:tcW w:w="1843" w:type="dxa"/>
            <w:vMerge w:val="continue"/>
            <w:tcBorders>
              <w:bottom w:val="single" w:color="auto" w:sz="4" w:space="0"/>
            </w:tcBorders>
          </w:tcPr>
          <w:p w14:paraId="644F41C8">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60CE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1E555028">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Living Faith Chu</w:t>
            </w:r>
            <w:r>
              <w:rPr>
                <w:rFonts w:ascii="Times New Roman" w:hAnsi="Times New Roman" w:eastAsia="DengXian" w:cs="Times New Roman"/>
                <w:b/>
                <w:bCs/>
                <w:kern w:val="0"/>
                <w:sz w:val="20"/>
                <w:szCs w:val="20"/>
                <w:lang w:eastAsia="en-GB"/>
                <w14:ligatures w14:val="none"/>
              </w:rPr>
              <w:t>rch (aka Winners Chapel)</w:t>
            </w:r>
          </w:p>
        </w:tc>
        <w:tc>
          <w:tcPr>
            <w:tcW w:w="3402" w:type="dxa"/>
            <w:tcBorders>
              <w:top w:val="single" w:color="auto" w:sz="4" w:space="0"/>
            </w:tcBorders>
          </w:tcPr>
          <w:p w14:paraId="49F0D94F">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How to Take Personal Responsibility for Your Life</w:t>
            </w:r>
          </w:p>
        </w:tc>
        <w:tc>
          <w:tcPr>
            <w:tcW w:w="1843" w:type="dxa"/>
            <w:tcBorders>
              <w:top w:val="single" w:color="auto" w:sz="4" w:space="0"/>
            </w:tcBorders>
          </w:tcPr>
          <w:p w14:paraId="37CD902E">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3474</w:t>
            </w:r>
          </w:p>
        </w:tc>
        <w:tc>
          <w:tcPr>
            <w:tcW w:w="1843" w:type="dxa"/>
            <w:vMerge w:val="restart"/>
            <w:tcBorders>
              <w:top w:val="single" w:color="auto" w:sz="4" w:space="0"/>
            </w:tcBorders>
          </w:tcPr>
          <w:p w14:paraId="6420FE70">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10479</w:t>
            </w:r>
          </w:p>
        </w:tc>
      </w:tr>
      <w:tr w14:paraId="5BB3A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5A972416">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735050C2">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The Benefits of Giving,</w:t>
            </w:r>
          </w:p>
        </w:tc>
        <w:tc>
          <w:tcPr>
            <w:tcW w:w="1843" w:type="dxa"/>
          </w:tcPr>
          <w:p w14:paraId="6B370A7A">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3354</w:t>
            </w:r>
          </w:p>
        </w:tc>
        <w:tc>
          <w:tcPr>
            <w:tcW w:w="1843" w:type="dxa"/>
            <w:vMerge w:val="continue"/>
          </w:tcPr>
          <w:p w14:paraId="3999C8A8">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71C8C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157C8761">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65624E75">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Understanding the Ministry of the Holy Spirit</w:t>
            </w:r>
          </w:p>
        </w:tc>
        <w:tc>
          <w:tcPr>
            <w:tcW w:w="1843" w:type="dxa"/>
            <w:tcBorders>
              <w:bottom w:val="single" w:color="auto" w:sz="4" w:space="0"/>
            </w:tcBorders>
          </w:tcPr>
          <w:p w14:paraId="0768BD84">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3651</w:t>
            </w:r>
          </w:p>
        </w:tc>
        <w:tc>
          <w:tcPr>
            <w:tcW w:w="1843" w:type="dxa"/>
            <w:vMerge w:val="continue"/>
            <w:tcBorders>
              <w:bottom w:val="single" w:color="auto" w:sz="4" w:space="0"/>
            </w:tcBorders>
          </w:tcPr>
          <w:p w14:paraId="583B30B7">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48F0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3F57334F">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St</w:t>
            </w:r>
            <w:r>
              <w:rPr>
                <w:rFonts w:ascii="Times New Roman" w:hAnsi="Times New Roman" w:eastAsia="DengXian" w:cs="Times New Roman"/>
                <w:b/>
                <w:bCs/>
                <w:kern w:val="0"/>
                <w:sz w:val="20"/>
                <w:szCs w:val="20"/>
                <w:lang w:eastAsia="en-GB"/>
                <w14:ligatures w14:val="none"/>
              </w:rPr>
              <w:t>reams of Joy International</w:t>
            </w:r>
          </w:p>
        </w:tc>
        <w:tc>
          <w:tcPr>
            <w:tcW w:w="3402" w:type="dxa"/>
            <w:tcBorders>
              <w:top w:val="single" w:color="auto" w:sz="4" w:space="0"/>
            </w:tcBorders>
          </w:tcPr>
          <w:p w14:paraId="0F584315">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Detoxing Altars of Delay</w:t>
            </w:r>
          </w:p>
        </w:tc>
        <w:tc>
          <w:tcPr>
            <w:tcW w:w="1843" w:type="dxa"/>
            <w:tcBorders>
              <w:top w:val="single" w:color="auto" w:sz="4" w:space="0"/>
            </w:tcBorders>
          </w:tcPr>
          <w:p w14:paraId="481226E3">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1387</w:t>
            </w:r>
          </w:p>
        </w:tc>
        <w:tc>
          <w:tcPr>
            <w:tcW w:w="1843" w:type="dxa"/>
            <w:vMerge w:val="restart"/>
            <w:tcBorders>
              <w:top w:val="single" w:color="auto" w:sz="4" w:space="0"/>
            </w:tcBorders>
          </w:tcPr>
          <w:p w14:paraId="7B6ABD62">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7318</w:t>
            </w:r>
          </w:p>
        </w:tc>
      </w:tr>
      <w:tr w14:paraId="3D800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48B3BB56">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3226B719">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The Rise of the Yoke Breaker</w:t>
            </w:r>
          </w:p>
        </w:tc>
        <w:tc>
          <w:tcPr>
            <w:tcW w:w="1843" w:type="dxa"/>
          </w:tcPr>
          <w:p w14:paraId="124B004B">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2713</w:t>
            </w:r>
          </w:p>
        </w:tc>
        <w:tc>
          <w:tcPr>
            <w:tcW w:w="1843" w:type="dxa"/>
            <w:vMerge w:val="continue"/>
          </w:tcPr>
          <w:p w14:paraId="6256F84A">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637A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749EEA15">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0F871BB2">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When God Helps a Man.</w:t>
            </w:r>
          </w:p>
        </w:tc>
        <w:tc>
          <w:tcPr>
            <w:tcW w:w="1843" w:type="dxa"/>
            <w:tcBorders>
              <w:bottom w:val="single" w:color="auto" w:sz="4" w:space="0"/>
            </w:tcBorders>
          </w:tcPr>
          <w:p w14:paraId="4D3E3D13">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3218</w:t>
            </w:r>
          </w:p>
        </w:tc>
        <w:tc>
          <w:tcPr>
            <w:tcW w:w="1843" w:type="dxa"/>
            <w:vMerge w:val="continue"/>
            <w:tcBorders>
              <w:bottom w:val="single" w:color="auto" w:sz="4" w:space="0"/>
            </w:tcBorders>
          </w:tcPr>
          <w:p w14:paraId="67B9F1B1">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3FF9C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5D568D04">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Ete</w:t>
            </w:r>
            <w:r>
              <w:rPr>
                <w:rFonts w:ascii="Times New Roman" w:hAnsi="Times New Roman" w:eastAsia="DengXian" w:cs="Times New Roman"/>
                <w:b/>
                <w:bCs/>
                <w:kern w:val="0"/>
                <w:sz w:val="20"/>
                <w:szCs w:val="20"/>
                <w:lang w:eastAsia="en-GB"/>
                <w14:ligatures w14:val="none"/>
              </w:rPr>
              <w:t>rnity Network International</w:t>
            </w:r>
          </w:p>
        </w:tc>
        <w:tc>
          <w:tcPr>
            <w:tcW w:w="3402" w:type="dxa"/>
            <w:tcBorders>
              <w:top w:val="single" w:color="auto" w:sz="4" w:space="0"/>
            </w:tcBorders>
          </w:tcPr>
          <w:p w14:paraId="5C6CC1B8">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This Grace Called Favour</w:t>
            </w:r>
          </w:p>
        </w:tc>
        <w:tc>
          <w:tcPr>
            <w:tcW w:w="1843" w:type="dxa"/>
            <w:tcBorders>
              <w:top w:val="single" w:color="auto" w:sz="4" w:space="0"/>
            </w:tcBorders>
          </w:tcPr>
          <w:p w14:paraId="5350A5EE">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3406</w:t>
            </w:r>
          </w:p>
        </w:tc>
        <w:tc>
          <w:tcPr>
            <w:tcW w:w="1843" w:type="dxa"/>
            <w:vMerge w:val="restart"/>
            <w:tcBorders>
              <w:top w:val="single" w:color="auto" w:sz="4" w:space="0"/>
            </w:tcBorders>
          </w:tcPr>
          <w:p w14:paraId="57FA7F7D">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11830</w:t>
            </w:r>
          </w:p>
        </w:tc>
      </w:tr>
      <w:tr w14:paraId="729E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6CEFC075">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44B749AE">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Work on Your Heart</w:t>
            </w:r>
          </w:p>
        </w:tc>
        <w:tc>
          <w:tcPr>
            <w:tcW w:w="1843" w:type="dxa"/>
          </w:tcPr>
          <w:p w14:paraId="469277BF">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3983</w:t>
            </w:r>
          </w:p>
        </w:tc>
        <w:tc>
          <w:tcPr>
            <w:tcW w:w="1843" w:type="dxa"/>
            <w:vMerge w:val="continue"/>
          </w:tcPr>
          <w:p w14:paraId="7C08A490">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433A0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37826D57">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21A9764D">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Decisions that Attract God’s Favour.</w:t>
            </w:r>
            <w:r>
              <w:rPr>
                <w:rFonts w:ascii="Times New Roman" w:hAnsi="Times New Roman" w:eastAsia="DengXian" w:cs="Times New Roman"/>
                <w:kern w:val="0"/>
                <w:sz w:val="20"/>
                <w:szCs w:val="20"/>
                <w:lang w:eastAsia="en-GB"/>
                <w14:ligatures w14:val="none"/>
              </w:rPr>
              <w:t xml:space="preserve"> </w:t>
            </w:r>
          </w:p>
        </w:tc>
        <w:tc>
          <w:tcPr>
            <w:tcW w:w="1843" w:type="dxa"/>
            <w:tcBorders>
              <w:bottom w:val="single" w:color="auto" w:sz="4" w:space="0"/>
            </w:tcBorders>
          </w:tcPr>
          <w:p w14:paraId="7D2C3DB0">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4441</w:t>
            </w:r>
          </w:p>
        </w:tc>
        <w:tc>
          <w:tcPr>
            <w:tcW w:w="1843" w:type="dxa"/>
            <w:vMerge w:val="continue"/>
            <w:tcBorders>
              <w:bottom w:val="single" w:color="auto" w:sz="4" w:space="0"/>
            </w:tcBorders>
          </w:tcPr>
          <w:p w14:paraId="25478159">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26E8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2482A962">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Catholic Chu</w:t>
            </w:r>
            <w:r>
              <w:rPr>
                <w:rFonts w:ascii="Times New Roman" w:hAnsi="Times New Roman" w:eastAsia="DengXian" w:cs="Times New Roman"/>
                <w:b/>
                <w:bCs/>
                <w:kern w:val="0"/>
                <w:sz w:val="20"/>
                <w:szCs w:val="20"/>
                <w:lang w:eastAsia="en-GB"/>
                <w14:ligatures w14:val="none"/>
              </w:rPr>
              <w:t>rch</w:t>
            </w:r>
          </w:p>
        </w:tc>
        <w:tc>
          <w:tcPr>
            <w:tcW w:w="3402" w:type="dxa"/>
            <w:tcBorders>
              <w:top w:val="single" w:color="auto" w:sz="4" w:space="0"/>
            </w:tcBorders>
          </w:tcPr>
          <w:p w14:paraId="43A8DE1B">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Walking with Christ in the Eucharist</w:t>
            </w:r>
          </w:p>
        </w:tc>
        <w:tc>
          <w:tcPr>
            <w:tcW w:w="1843" w:type="dxa"/>
            <w:tcBorders>
              <w:top w:val="single" w:color="auto" w:sz="4" w:space="0"/>
            </w:tcBorders>
          </w:tcPr>
          <w:p w14:paraId="405D92EA">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1282</w:t>
            </w:r>
          </w:p>
        </w:tc>
        <w:tc>
          <w:tcPr>
            <w:tcW w:w="1843" w:type="dxa"/>
            <w:vMerge w:val="restart"/>
            <w:tcBorders>
              <w:top w:val="single" w:color="auto" w:sz="4" w:space="0"/>
            </w:tcBorders>
          </w:tcPr>
          <w:p w14:paraId="60DA046E">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3845</w:t>
            </w:r>
          </w:p>
        </w:tc>
      </w:tr>
      <w:tr w14:paraId="59A56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4ED70983">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2A94B604">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Turn Back to God and Live</w:t>
            </w:r>
          </w:p>
        </w:tc>
        <w:tc>
          <w:tcPr>
            <w:tcW w:w="1843" w:type="dxa"/>
          </w:tcPr>
          <w:p w14:paraId="26177F9C">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1604</w:t>
            </w:r>
          </w:p>
        </w:tc>
        <w:tc>
          <w:tcPr>
            <w:tcW w:w="1843" w:type="dxa"/>
            <w:vMerge w:val="continue"/>
          </w:tcPr>
          <w:p w14:paraId="6E875A70">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3C658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389CBA4A">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6FA36EB7">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Blessed Are the Peacemakers</w:t>
            </w:r>
          </w:p>
        </w:tc>
        <w:tc>
          <w:tcPr>
            <w:tcW w:w="1843" w:type="dxa"/>
            <w:tcBorders>
              <w:bottom w:val="single" w:color="auto" w:sz="4" w:space="0"/>
            </w:tcBorders>
          </w:tcPr>
          <w:p w14:paraId="6BDB4768">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959</w:t>
            </w:r>
          </w:p>
        </w:tc>
        <w:tc>
          <w:tcPr>
            <w:tcW w:w="1843" w:type="dxa"/>
            <w:vMerge w:val="continue"/>
            <w:tcBorders>
              <w:bottom w:val="single" w:color="auto" w:sz="4" w:space="0"/>
            </w:tcBorders>
          </w:tcPr>
          <w:p w14:paraId="564F5465">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4E146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bottom w:val="single" w:color="auto" w:sz="4" w:space="0"/>
            </w:tcBorders>
          </w:tcPr>
          <w:p w14:paraId="1E9320FA">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Methodist Chu</w:t>
            </w:r>
            <w:r>
              <w:rPr>
                <w:rFonts w:ascii="Times New Roman" w:hAnsi="Times New Roman" w:eastAsia="DengXian" w:cs="Times New Roman"/>
                <w:b/>
                <w:bCs/>
                <w:kern w:val="0"/>
                <w:sz w:val="20"/>
                <w:szCs w:val="20"/>
                <w:lang w:eastAsia="en-GB"/>
                <w14:ligatures w14:val="none"/>
              </w:rPr>
              <w:t>rch</w:t>
            </w:r>
          </w:p>
        </w:tc>
        <w:tc>
          <w:tcPr>
            <w:tcW w:w="3402" w:type="dxa"/>
            <w:tcBorders>
              <w:top w:val="single" w:color="auto" w:sz="4" w:space="0"/>
            </w:tcBorders>
          </w:tcPr>
          <w:p w14:paraId="0D64C85A">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Walking in the Light of Christ</w:t>
            </w:r>
          </w:p>
        </w:tc>
        <w:tc>
          <w:tcPr>
            <w:tcW w:w="1843" w:type="dxa"/>
            <w:tcBorders>
              <w:top w:val="single" w:color="auto" w:sz="4" w:space="0"/>
            </w:tcBorders>
          </w:tcPr>
          <w:p w14:paraId="6E66DAA4">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1627</w:t>
            </w:r>
          </w:p>
        </w:tc>
        <w:tc>
          <w:tcPr>
            <w:tcW w:w="1843" w:type="dxa"/>
            <w:vMerge w:val="restart"/>
            <w:tcBorders>
              <w:top w:val="single" w:color="auto" w:sz="4" w:space="0"/>
            </w:tcBorders>
          </w:tcPr>
          <w:p w14:paraId="7ADEBD63">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4662</w:t>
            </w:r>
          </w:p>
        </w:tc>
      </w:tr>
      <w:tr w14:paraId="4549C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002F0B1A">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27C98B8F">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The Power of Christian Service</w:t>
            </w:r>
          </w:p>
        </w:tc>
        <w:tc>
          <w:tcPr>
            <w:tcW w:w="1843" w:type="dxa"/>
          </w:tcPr>
          <w:p w14:paraId="79FBBFBE">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1407</w:t>
            </w:r>
          </w:p>
        </w:tc>
        <w:tc>
          <w:tcPr>
            <w:tcW w:w="1843" w:type="dxa"/>
            <w:vMerge w:val="continue"/>
          </w:tcPr>
          <w:p w14:paraId="49F7DF99">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0CBE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3AADE57E">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3C49F1DC">
            <w:pPr>
              <w:spacing w:after="120" w:line="240" w:lineRule="auto"/>
              <w:ind w:right="43"/>
              <w:jc w:val="both"/>
              <w:rPr>
                <w:rFonts w:ascii="Times New Roman" w:hAnsi="Times New Roman" w:eastAsia="Calibri" w:cs="Times New Roman"/>
                <w:bCs/>
                <w:color w:val="000000"/>
                <w:kern w:val="0"/>
                <w:sz w:val="20"/>
                <w:szCs w:val="20"/>
                <w:lang w:eastAsia="en-GB"/>
                <w14:ligatures w14:val="none"/>
              </w:rPr>
            </w:pPr>
            <w:r>
              <w:rPr>
                <w:rFonts w:ascii="Times New Roman" w:hAnsi="Times New Roman" w:eastAsia="DengXian" w:cs="Times New Roman"/>
                <w:i/>
                <w:iCs/>
                <w:kern w:val="0"/>
                <w:sz w:val="20"/>
                <w:szCs w:val="20"/>
                <w:lang w:eastAsia="en-GB"/>
                <w14:ligatures w14:val="none"/>
              </w:rPr>
              <w:t>Living by the Spirit: A Call to Holiness</w:t>
            </w:r>
          </w:p>
        </w:tc>
        <w:tc>
          <w:tcPr>
            <w:tcW w:w="1843" w:type="dxa"/>
            <w:tcBorders>
              <w:bottom w:val="single" w:color="auto" w:sz="4" w:space="0"/>
            </w:tcBorders>
          </w:tcPr>
          <w:p w14:paraId="7BD04BA7">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1628</w:t>
            </w:r>
          </w:p>
        </w:tc>
        <w:tc>
          <w:tcPr>
            <w:tcW w:w="1843" w:type="dxa"/>
            <w:vMerge w:val="continue"/>
            <w:tcBorders>
              <w:bottom w:val="single" w:color="auto" w:sz="4" w:space="0"/>
            </w:tcBorders>
          </w:tcPr>
          <w:p w14:paraId="00F3317E">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p>
        </w:tc>
      </w:tr>
      <w:tr w14:paraId="2B8A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restart"/>
            <w:tcBorders>
              <w:top w:val="single" w:color="auto" w:sz="4" w:space="0"/>
            </w:tcBorders>
          </w:tcPr>
          <w:p w14:paraId="00FF6994">
            <w:pPr>
              <w:spacing w:after="0" w:line="240" w:lineRule="auto"/>
              <w:rPr>
                <w:rFonts w:ascii="Times New Roman" w:hAnsi="Times New Roman" w:eastAsia="DengXian" w:cs="Times New Roman"/>
                <w:b/>
                <w:kern w:val="0"/>
                <w:sz w:val="20"/>
                <w:szCs w:val="20"/>
                <w:lang w:eastAsia="en-GB"/>
                <w14:ligatures w14:val="none"/>
              </w:rPr>
            </w:pPr>
            <w:r>
              <w:rPr>
                <w:rFonts w:ascii="Times New Roman" w:hAnsi="Times New Roman" w:eastAsia="DengXian" w:cs="Times New Roman"/>
                <w:b/>
                <w:kern w:val="0"/>
                <w:sz w:val="20"/>
                <w:szCs w:val="20"/>
                <w:lang w:eastAsia="en-GB"/>
                <w14:ligatures w14:val="none"/>
              </w:rPr>
              <w:t>Deepe</w:t>
            </w:r>
            <w:r>
              <w:rPr>
                <w:rFonts w:ascii="Times New Roman" w:hAnsi="Times New Roman" w:eastAsia="DengXian" w:cs="Times New Roman"/>
                <w:b/>
                <w:bCs/>
                <w:kern w:val="0"/>
                <w:sz w:val="20"/>
                <w:szCs w:val="20"/>
                <w:lang w:eastAsia="en-GB"/>
                <w14:ligatures w14:val="none"/>
              </w:rPr>
              <w:t>r Life Bible Church</w:t>
            </w:r>
          </w:p>
        </w:tc>
        <w:tc>
          <w:tcPr>
            <w:tcW w:w="3402" w:type="dxa"/>
            <w:tcBorders>
              <w:top w:val="single" w:color="auto" w:sz="4" w:space="0"/>
            </w:tcBorders>
          </w:tcPr>
          <w:p w14:paraId="61820F32">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The Powe</w:t>
            </w:r>
            <w:r>
              <w:rPr>
                <w:rFonts w:ascii="Times New Roman" w:hAnsi="Times New Roman" w:eastAsia="DengXian" w:cs="Times New Roman"/>
                <w:i/>
                <w:iCs/>
                <w:kern w:val="0"/>
                <w:sz w:val="20"/>
                <w:szCs w:val="20"/>
                <w:lang w:eastAsia="en-GB"/>
                <w14:ligatures w14:val="none"/>
              </w:rPr>
              <w:t>r as of Old</w:t>
            </w:r>
          </w:p>
        </w:tc>
        <w:tc>
          <w:tcPr>
            <w:tcW w:w="1843" w:type="dxa"/>
            <w:tcBorders>
              <w:top w:val="single" w:color="auto" w:sz="4" w:space="0"/>
            </w:tcBorders>
          </w:tcPr>
          <w:p w14:paraId="558DCABE">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3295</w:t>
            </w:r>
          </w:p>
        </w:tc>
        <w:tc>
          <w:tcPr>
            <w:tcW w:w="1843" w:type="dxa"/>
            <w:vMerge w:val="restart"/>
            <w:tcBorders>
              <w:top w:val="single" w:color="auto" w:sz="4" w:space="0"/>
            </w:tcBorders>
          </w:tcPr>
          <w:p w14:paraId="3BA7B2FD">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11190</w:t>
            </w:r>
          </w:p>
        </w:tc>
      </w:tr>
      <w:tr w14:paraId="3E37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Pr>
          <w:p w14:paraId="7A0B6020">
            <w:pPr>
              <w:spacing w:after="0" w:line="240" w:lineRule="auto"/>
              <w:rPr>
                <w:rFonts w:ascii="Times New Roman" w:hAnsi="Times New Roman" w:eastAsia="DengXian" w:cs="Times New Roman"/>
                <w:b/>
                <w:kern w:val="0"/>
                <w:sz w:val="20"/>
                <w:szCs w:val="20"/>
                <w:lang w:eastAsia="en-GB"/>
                <w14:ligatures w14:val="none"/>
              </w:rPr>
            </w:pPr>
          </w:p>
        </w:tc>
        <w:tc>
          <w:tcPr>
            <w:tcW w:w="3402" w:type="dxa"/>
          </w:tcPr>
          <w:p w14:paraId="217396D9">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Dange</w:t>
            </w:r>
            <w:r>
              <w:rPr>
                <w:rFonts w:ascii="Times New Roman" w:hAnsi="Times New Roman" w:eastAsia="DengXian" w:cs="Times New Roman"/>
                <w:i/>
                <w:iCs/>
                <w:kern w:val="0"/>
                <w:sz w:val="20"/>
                <w:szCs w:val="20"/>
                <w:lang w:eastAsia="en-GB"/>
                <w14:ligatures w14:val="none"/>
              </w:rPr>
              <w:t>r of Compromise in the Last Days</w:t>
            </w:r>
          </w:p>
        </w:tc>
        <w:tc>
          <w:tcPr>
            <w:tcW w:w="1843" w:type="dxa"/>
          </w:tcPr>
          <w:p w14:paraId="6A6ED9F9">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4400</w:t>
            </w:r>
          </w:p>
        </w:tc>
        <w:tc>
          <w:tcPr>
            <w:tcW w:w="1843" w:type="dxa"/>
            <w:vMerge w:val="continue"/>
          </w:tcPr>
          <w:p w14:paraId="39AD08D0">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p>
        </w:tc>
      </w:tr>
      <w:tr w14:paraId="225F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Merge w:val="continue"/>
            <w:tcBorders>
              <w:bottom w:val="single" w:color="auto" w:sz="4" w:space="0"/>
            </w:tcBorders>
          </w:tcPr>
          <w:p w14:paraId="01C6A3AA">
            <w:pPr>
              <w:spacing w:after="0" w:line="240" w:lineRule="auto"/>
              <w:rPr>
                <w:rFonts w:ascii="Times New Roman" w:hAnsi="Times New Roman" w:eastAsia="DengXian" w:cs="Times New Roman"/>
                <w:b/>
                <w:kern w:val="0"/>
                <w:sz w:val="20"/>
                <w:szCs w:val="20"/>
                <w:lang w:eastAsia="en-GB"/>
                <w14:ligatures w14:val="none"/>
              </w:rPr>
            </w:pPr>
          </w:p>
        </w:tc>
        <w:tc>
          <w:tcPr>
            <w:tcW w:w="3402" w:type="dxa"/>
            <w:tcBorders>
              <w:bottom w:val="single" w:color="auto" w:sz="4" w:space="0"/>
            </w:tcBorders>
          </w:tcPr>
          <w:p w14:paraId="3C8161D6">
            <w:pPr>
              <w:spacing w:after="12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Watchfulness While Othe</w:t>
            </w:r>
            <w:r>
              <w:rPr>
                <w:rFonts w:ascii="Times New Roman" w:hAnsi="Times New Roman" w:eastAsia="DengXian" w:cs="Times New Roman"/>
                <w:i/>
                <w:iCs/>
                <w:kern w:val="0"/>
                <w:sz w:val="20"/>
                <w:szCs w:val="20"/>
                <w:lang w:eastAsia="en-GB"/>
                <w14:ligatures w14:val="none"/>
              </w:rPr>
              <w:t>rs Sleep</w:t>
            </w:r>
          </w:p>
        </w:tc>
        <w:tc>
          <w:tcPr>
            <w:tcW w:w="1843" w:type="dxa"/>
            <w:tcBorders>
              <w:bottom w:val="single" w:color="auto" w:sz="4" w:space="0"/>
            </w:tcBorders>
          </w:tcPr>
          <w:p w14:paraId="4A93279C">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3495</w:t>
            </w:r>
          </w:p>
        </w:tc>
        <w:tc>
          <w:tcPr>
            <w:tcW w:w="1843" w:type="dxa"/>
            <w:vMerge w:val="continue"/>
            <w:tcBorders>
              <w:bottom w:val="single" w:color="auto" w:sz="4" w:space="0"/>
            </w:tcBorders>
          </w:tcPr>
          <w:p w14:paraId="0A63667D">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p>
        </w:tc>
      </w:tr>
      <w:tr w14:paraId="295CD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63" w:type="dxa"/>
            <w:gridSpan w:val="2"/>
            <w:tcBorders>
              <w:top w:val="single" w:color="auto" w:sz="4" w:space="0"/>
              <w:bottom w:val="single" w:color="auto" w:sz="4" w:space="0"/>
            </w:tcBorders>
          </w:tcPr>
          <w:p w14:paraId="4521584F">
            <w:pPr>
              <w:spacing w:after="120" w:line="240" w:lineRule="auto"/>
              <w:ind w:right="43"/>
              <w:jc w:val="center"/>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Total Tokens (Co</w:t>
            </w:r>
            <w:r>
              <w:rPr>
                <w:rFonts w:ascii="Times New Roman" w:hAnsi="Times New Roman" w:eastAsia="DengXian" w:cs="Times New Roman"/>
                <w:b/>
                <w:bCs/>
                <w:kern w:val="0"/>
                <w:sz w:val="20"/>
                <w:szCs w:val="20"/>
                <w:lang w:eastAsia="en-GB"/>
                <w14:ligatures w14:val="none"/>
              </w:rPr>
              <w:t>rpus)</w:t>
            </w:r>
          </w:p>
        </w:tc>
        <w:tc>
          <w:tcPr>
            <w:tcW w:w="3686" w:type="dxa"/>
            <w:gridSpan w:val="2"/>
            <w:tcBorders>
              <w:top w:val="single" w:color="auto" w:sz="4" w:space="0"/>
              <w:bottom w:val="single" w:color="auto" w:sz="4" w:space="0"/>
            </w:tcBorders>
          </w:tcPr>
          <w:p w14:paraId="2B45A1CC">
            <w:pPr>
              <w:spacing w:after="12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90589</w:t>
            </w:r>
          </w:p>
        </w:tc>
      </w:tr>
    </w:tbl>
    <w:p w14:paraId="69288910">
      <w:pPr>
        <w:spacing w:line="48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Source: Author’s analysis, 2026</w:t>
      </w:r>
    </w:p>
    <w:p w14:paraId="1DD48D8A">
      <w:pPr>
        <w:spacing w:line="480" w:lineRule="auto"/>
        <w:jc w:val="both"/>
        <w:rPr>
          <w:rFonts w:ascii="Times New Roman" w:hAnsi="Times New Roman" w:cs="Times New Roman"/>
          <w:sz w:val="22"/>
          <w:szCs w:val="22"/>
        </w:rPr>
      </w:pPr>
      <w:r>
        <w:rPr>
          <w:rFonts w:ascii="Times New Roman" w:hAnsi="Times New Roman" w:cs="Times New Roman"/>
          <w:sz w:val="22"/>
          <w:szCs w:val="22"/>
        </w:rPr>
        <w:t>Table 1 presents the composition of the sermon corpus analysed in this study, showing the number of sermons, tokens per sermon, and total tokens per church. In total, 30 sermons across 10 churches were compiled, yielding 90,589 tokens overall, with individual sermons ranging from 959 to 5,224 tokens. When compared with Esimaje’s (2012) study, which analysed 50 sermons totalling approximately 60,000 words with 5,000 unique word types, several similarities and differences emerge. The present corpus is larger in total size, suggesting a broader lexical and thematic coverage, while the average tokens per sermon (3,774 tokens) indicate that sermons in this study are generally more detailed than those in Esimaje’s sample. This is further supported by the variation in total tokens per church, which ranges from 3,845 in the Catholic Church to 15,142 in Global Harvest Church, which shows diversity in sermon length and delivery style across denominations.</w:t>
      </w:r>
    </w:p>
    <w:p w14:paraId="5E73DC3A">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These comparisons indicate that, although both studies employed similar methodological approaches in corpus construction, the present corpus offers updated insights into sermon composition and lexical richness in contemporary Nigerian churches, thereby complementing and extending Esimaje’s findings. </w:t>
      </w:r>
    </w:p>
    <w:p w14:paraId="531F240C">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Word Type Distribution </w:t>
      </w:r>
    </w:p>
    <w:p w14:paraId="1794B6D2">
      <w:pPr>
        <w:spacing w:after="120" w:line="240" w:lineRule="auto"/>
        <w:jc w:val="both"/>
        <w:rPr>
          <w:rFonts w:ascii="Times New Roman" w:hAnsi="Times New Roman" w:cs="Times New Roman"/>
          <w:b/>
          <w:bCs/>
          <w:sz w:val="22"/>
          <w:szCs w:val="22"/>
        </w:rPr>
      </w:pPr>
      <w:r>
        <w:rPr>
          <w:rFonts w:ascii="Times New Roman" w:hAnsi="Times New Roman" w:cs="Times New Roman"/>
          <w:b/>
          <w:bCs/>
          <w:sz w:val="22"/>
          <w:szCs w:val="22"/>
        </w:rPr>
        <w:t>Table 2: Distribution of the First 20 Selected Words f</w:t>
      </w:r>
      <w:r>
        <w:rPr>
          <w:rFonts w:ascii="Times New Roman" w:hAnsi="Times New Roman" w:eastAsia="Calibri" w:cs="Times New Roman"/>
          <w:b/>
          <w:bCs/>
          <w:color w:val="000000"/>
          <w:sz w:val="22"/>
          <w:szCs w:val="22"/>
        </w:rPr>
        <w:t>rom</w:t>
      </w:r>
      <w:r>
        <w:rPr>
          <w:rFonts w:ascii="Times New Roman" w:hAnsi="Times New Roman" w:eastAsia="Calibri" w:cs="Times New Roman"/>
          <w:bCs/>
          <w:color w:val="000000"/>
          <w:sz w:val="22"/>
          <w:szCs w:val="22"/>
        </w:rPr>
        <w:t xml:space="preserve"> </w:t>
      </w:r>
      <w:r>
        <w:rPr>
          <w:rFonts w:ascii="Times New Roman" w:hAnsi="Times New Roman" w:cs="Times New Roman"/>
          <w:b/>
          <w:bCs/>
          <w:sz w:val="22"/>
          <w:szCs w:val="22"/>
        </w:rPr>
        <w:t>the Sermon Corpus</w:t>
      </w:r>
    </w:p>
    <w:tbl>
      <w:tblPr>
        <w:tblStyle w:val="49"/>
        <w:tblW w:w="9000" w:type="dxa"/>
        <w:tblInd w:w="0"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4536"/>
        <w:gridCol w:w="3613"/>
      </w:tblGrid>
      <w:tr w14:paraId="136C85F6">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bottom w:val="single" w:color="7F7F7F" w:sz="4" w:space="0"/>
              <w:insideH w:val="single" w:sz="4" w:space="0"/>
            </w:tcBorders>
          </w:tcPr>
          <w:p w14:paraId="3F364D49">
            <w:pPr>
              <w:spacing w:after="0" w:line="240" w:lineRule="auto"/>
              <w:ind w:right="43"/>
              <w:jc w:val="center"/>
              <w:rPr>
                <w:rFonts w:ascii="Times New Roman" w:hAnsi="Times New Roman" w:eastAsia="Calibri" w:cs="Times New Roman"/>
                <w:b/>
                <w:bCs/>
                <w:color w:val="000000"/>
                <w:sz w:val="22"/>
                <w:szCs w:val="22"/>
              </w:rPr>
            </w:pPr>
            <w:r>
              <w:rPr>
                <w:rFonts w:ascii="Times New Roman" w:hAnsi="Times New Roman" w:cs="Times New Roman"/>
                <w:b/>
                <w:bCs/>
                <w:sz w:val="22"/>
                <w:szCs w:val="22"/>
              </w:rPr>
              <w:t>Rank</w:t>
            </w:r>
          </w:p>
        </w:tc>
        <w:tc>
          <w:tcPr>
            <w:tcW w:w="4536" w:type="dxa"/>
            <w:tcBorders>
              <w:bottom w:val="single" w:color="7F7F7F" w:sz="4" w:space="0"/>
              <w:insideH w:val="single" w:sz="4" w:space="0"/>
            </w:tcBorders>
          </w:tcPr>
          <w:p w14:paraId="213FCFCD">
            <w:pPr>
              <w:spacing w:after="0" w:line="240"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Wo</w:t>
            </w:r>
            <w:r>
              <w:rPr>
                <w:rFonts w:ascii="Times New Roman" w:hAnsi="Times New Roman" w:cs="Times New Roman"/>
                <w:b/>
                <w:bCs/>
                <w:sz w:val="22"/>
                <w:szCs w:val="22"/>
              </w:rPr>
              <w:t>rd</w:t>
            </w:r>
          </w:p>
        </w:tc>
        <w:tc>
          <w:tcPr>
            <w:tcW w:w="3613" w:type="dxa"/>
            <w:tcBorders>
              <w:bottom w:val="single" w:color="7F7F7F" w:sz="4" w:space="0"/>
              <w:insideH w:val="single" w:sz="4" w:space="0"/>
            </w:tcBorders>
          </w:tcPr>
          <w:p w14:paraId="28139CA1">
            <w:pPr>
              <w:spacing w:after="0" w:line="240"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F</w:t>
            </w:r>
            <w:r>
              <w:rPr>
                <w:rFonts w:ascii="Times New Roman" w:hAnsi="Times New Roman" w:cs="Times New Roman"/>
                <w:b/>
                <w:bCs/>
                <w:sz w:val="22"/>
                <w:szCs w:val="22"/>
              </w:rPr>
              <w:t>requency</w:t>
            </w:r>
          </w:p>
        </w:tc>
      </w:tr>
      <w:tr w14:paraId="580875DE">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455BEE0E">
            <w:pPr>
              <w:spacing w:after="0" w:line="240"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w:t>
            </w:r>
          </w:p>
        </w:tc>
        <w:tc>
          <w:tcPr>
            <w:tcW w:w="4536" w:type="dxa"/>
            <w:tcBorders>
              <w:top w:val="single" w:color="7F7F7F" w:sz="4" w:space="0"/>
              <w:bottom w:val="single" w:color="7F7F7F" w:sz="4" w:space="0"/>
              <w:insideH w:val="single" w:sz="4" w:space="0"/>
            </w:tcBorders>
          </w:tcPr>
          <w:p w14:paraId="72C8780F">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God</w:t>
            </w:r>
          </w:p>
        </w:tc>
        <w:tc>
          <w:tcPr>
            <w:tcW w:w="3613" w:type="dxa"/>
            <w:tcBorders>
              <w:top w:val="single" w:color="7F7F7F" w:sz="4" w:space="0"/>
              <w:bottom w:val="single" w:color="7F7F7F" w:sz="4" w:space="0"/>
              <w:insideH w:val="single" w:sz="4" w:space="0"/>
            </w:tcBorders>
          </w:tcPr>
          <w:p w14:paraId="0FB2C3A6">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918</w:t>
            </w:r>
          </w:p>
        </w:tc>
      </w:tr>
      <w:tr w14:paraId="34267697">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579EB930">
            <w:pPr>
              <w:spacing w:after="0" w:line="240"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2</w:t>
            </w:r>
          </w:p>
        </w:tc>
        <w:tc>
          <w:tcPr>
            <w:tcW w:w="4536" w:type="dxa"/>
          </w:tcPr>
          <w:p w14:paraId="7F3343B8">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Jesus</w:t>
            </w:r>
          </w:p>
        </w:tc>
        <w:tc>
          <w:tcPr>
            <w:tcW w:w="3613" w:type="dxa"/>
          </w:tcPr>
          <w:p w14:paraId="6CB9EF83">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370</w:t>
            </w:r>
          </w:p>
        </w:tc>
      </w:tr>
      <w:tr w14:paraId="55F7D67C">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42A05E64">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3</w:t>
            </w:r>
          </w:p>
        </w:tc>
        <w:tc>
          <w:tcPr>
            <w:tcW w:w="4536" w:type="dxa"/>
            <w:tcBorders>
              <w:top w:val="single" w:color="7F7F7F" w:sz="4" w:space="0"/>
              <w:bottom w:val="single" w:color="7F7F7F" w:sz="4" w:space="0"/>
              <w:insideH w:val="single" w:sz="4" w:space="0"/>
            </w:tcBorders>
          </w:tcPr>
          <w:p w14:paraId="1D51EC82">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Lord</w:t>
            </w:r>
          </w:p>
        </w:tc>
        <w:tc>
          <w:tcPr>
            <w:tcW w:w="3613" w:type="dxa"/>
            <w:tcBorders>
              <w:top w:val="single" w:color="7F7F7F" w:sz="4" w:space="0"/>
              <w:bottom w:val="single" w:color="7F7F7F" w:sz="4" w:space="0"/>
              <w:insideH w:val="single" w:sz="4" w:space="0"/>
            </w:tcBorders>
          </w:tcPr>
          <w:p w14:paraId="6AEB0A52">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356</w:t>
            </w:r>
          </w:p>
        </w:tc>
      </w:tr>
      <w:tr w14:paraId="701DB82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1FEC4610">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4</w:t>
            </w:r>
          </w:p>
        </w:tc>
        <w:tc>
          <w:tcPr>
            <w:tcW w:w="4536" w:type="dxa"/>
          </w:tcPr>
          <w:p w14:paraId="4648A6AF">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Life</w:t>
            </w:r>
          </w:p>
        </w:tc>
        <w:tc>
          <w:tcPr>
            <w:tcW w:w="3613" w:type="dxa"/>
          </w:tcPr>
          <w:p w14:paraId="6C2F5D5D">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325</w:t>
            </w:r>
          </w:p>
        </w:tc>
      </w:tr>
      <w:tr w14:paraId="19834915">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3F2EF501">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5</w:t>
            </w:r>
          </w:p>
        </w:tc>
        <w:tc>
          <w:tcPr>
            <w:tcW w:w="4536" w:type="dxa"/>
            <w:tcBorders>
              <w:top w:val="single" w:color="7F7F7F" w:sz="4" w:space="0"/>
              <w:bottom w:val="single" w:color="7F7F7F" w:sz="4" w:space="0"/>
              <w:insideH w:val="single" w:sz="4" w:space="0"/>
            </w:tcBorders>
          </w:tcPr>
          <w:p w14:paraId="077A07CD">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Faith</w:t>
            </w:r>
          </w:p>
        </w:tc>
        <w:tc>
          <w:tcPr>
            <w:tcW w:w="3613" w:type="dxa"/>
            <w:tcBorders>
              <w:top w:val="single" w:color="7F7F7F" w:sz="4" w:space="0"/>
              <w:bottom w:val="single" w:color="7F7F7F" w:sz="4" w:space="0"/>
              <w:insideH w:val="single" w:sz="4" w:space="0"/>
            </w:tcBorders>
          </w:tcPr>
          <w:p w14:paraId="6F89EE2E">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296</w:t>
            </w:r>
          </w:p>
        </w:tc>
      </w:tr>
      <w:tr w14:paraId="6A29C41E">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5C977388">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6</w:t>
            </w:r>
          </w:p>
        </w:tc>
        <w:tc>
          <w:tcPr>
            <w:tcW w:w="4536" w:type="dxa"/>
          </w:tcPr>
          <w:p w14:paraId="39381E7E">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Man</w:t>
            </w:r>
          </w:p>
        </w:tc>
        <w:tc>
          <w:tcPr>
            <w:tcW w:w="3613" w:type="dxa"/>
          </w:tcPr>
          <w:p w14:paraId="38F6ABCE">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222</w:t>
            </w:r>
          </w:p>
        </w:tc>
      </w:tr>
      <w:tr w14:paraId="64686AB4">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5F559B4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7</w:t>
            </w:r>
          </w:p>
        </w:tc>
        <w:tc>
          <w:tcPr>
            <w:tcW w:w="4536" w:type="dxa"/>
            <w:tcBorders>
              <w:top w:val="single" w:color="7F7F7F" w:sz="4" w:space="0"/>
              <w:bottom w:val="single" w:color="7F7F7F" w:sz="4" w:space="0"/>
              <w:insideH w:val="single" w:sz="4" w:space="0"/>
            </w:tcBorders>
          </w:tcPr>
          <w:p w14:paraId="7232A73D">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Verse</w:t>
            </w:r>
          </w:p>
        </w:tc>
        <w:tc>
          <w:tcPr>
            <w:tcW w:w="3613" w:type="dxa"/>
            <w:tcBorders>
              <w:top w:val="single" w:color="7F7F7F" w:sz="4" w:space="0"/>
              <w:bottom w:val="single" w:color="7F7F7F" w:sz="4" w:space="0"/>
              <w:insideH w:val="single" w:sz="4" w:space="0"/>
            </w:tcBorders>
          </w:tcPr>
          <w:p w14:paraId="1C46D50F">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218</w:t>
            </w:r>
          </w:p>
        </w:tc>
      </w:tr>
      <w:tr w14:paraId="1E64EE5D">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14D25575">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8</w:t>
            </w:r>
          </w:p>
        </w:tc>
        <w:tc>
          <w:tcPr>
            <w:tcW w:w="4536" w:type="dxa"/>
          </w:tcPr>
          <w:p w14:paraId="642529B7">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Spirit</w:t>
            </w:r>
          </w:p>
        </w:tc>
        <w:tc>
          <w:tcPr>
            <w:tcW w:w="3613" w:type="dxa"/>
          </w:tcPr>
          <w:p w14:paraId="00BE44E0">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196</w:t>
            </w:r>
          </w:p>
        </w:tc>
      </w:tr>
      <w:tr w14:paraId="0865E533">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211926FA">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9</w:t>
            </w:r>
          </w:p>
        </w:tc>
        <w:tc>
          <w:tcPr>
            <w:tcW w:w="4536" w:type="dxa"/>
            <w:tcBorders>
              <w:top w:val="single" w:color="7F7F7F" w:sz="4" w:space="0"/>
              <w:bottom w:val="single" w:color="7F7F7F" w:sz="4" w:space="0"/>
              <w:insideH w:val="single" w:sz="4" w:space="0"/>
            </w:tcBorders>
          </w:tcPr>
          <w:p w14:paraId="5CF904D8">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Power</w:t>
            </w:r>
          </w:p>
        </w:tc>
        <w:tc>
          <w:tcPr>
            <w:tcW w:w="3613" w:type="dxa"/>
            <w:tcBorders>
              <w:top w:val="single" w:color="7F7F7F" w:sz="4" w:space="0"/>
              <w:bottom w:val="single" w:color="7F7F7F" w:sz="4" w:space="0"/>
              <w:insideH w:val="single" w:sz="4" w:space="0"/>
            </w:tcBorders>
          </w:tcPr>
          <w:p w14:paraId="583BC79E">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194</w:t>
            </w:r>
          </w:p>
        </w:tc>
      </w:tr>
      <w:tr w14:paraId="1E2055DB">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48167F1D">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10</w:t>
            </w:r>
          </w:p>
        </w:tc>
        <w:tc>
          <w:tcPr>
            <w:tcW w:w="4536" w:type="dxa"/>
          </w:tcPr>
          <w:p w14:paraId="22174E1C">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Christ</w:t>
            </w:r>
          </w:p>
        </w:tc>
        <w:tc>
          <w:tcPr>
            <w:tcW w:w="3613" w:type="dxa"/>
          </w:tcPr>
          <w:p w14:paraId="731C4217">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187</w:t>
            </w:r>
          </w:p>
        </w:tc>
      </w:tr>
      <w:tr w14:paraId="2D7B8FA4">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598A82CE">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11</w:t>
            </w:r>
          </w:p>
        </w:tc>
        <w:tc>
          <w:tcPr>
            <w:tcW w:w="4536" w:type="dxa"/>
            <w:tcBorders>
              <w:top w:val="single" w:color="7F7F7F" w:sz="4" w:space="0"/>
              <w:bottom w:val="single" w:color="7F7F7F" w:sz="4" w:space="0"/>
              <w:insideH w:val="single" w:sz="4" w:space="0"/>
            </w:tcBorders>
          </w:tcPr>
          <w:p w14:paraId="31C90748">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Word</w:t>
            </w:r>
          </w:p>
        </w:tc>
        <w:tc>
          <w:tcPr>
            <w:tcW w:w="3613" w:type="dxa"/>
            <w:tcBorders>
              <w:top w:val="single" w:color="7F7F7F" w:sz="4" w:space="0"/>
              <w:bottom w:val="single" w:color="7F7F7F" w:sz="4" w:space="0"/>
              <w:insideH w:val="single" w:sz="4" w:space="0"/>
            </w:tcBorders>
          </w:tcPr>
          <w:p w14:paraId="082924F5">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176</w:t>
            </w:r>
          </w:p>
        </w:tc>
      </w:tr>
      <w:tr w14:paraId="74D0755B">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784248BD">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4536" w:type="dxa"/>
          </w:tcPr>
          <w:p w14:paraId="21ED6369">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Name</w:t>
            </w:r>
          </w:p>
        </w:tc>
        <w:tc>
          <w:tcPr>
            <w:tcW w:w="3613" w:type="dxa"/>
          </w:tcPr>
          <w:p w14:paraId="2B0B8A96">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144</w:t>
            </w:r>
          </w:p>
        </w:tc>
      </w:tr>
      <w:tr w14:paraId="635F770E">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7C330E3B">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13</w:t>
            </w:r>
          </w:p>
        </w:tc>
        <w:tc>
          <w:tcPr>
            <w:tcW w:w="4536" w:type="dxa"/>
            <w:tcBorders>
              <w:top w:val="single" w:color="7F7F7F" w:sz="4" w:space="0"/>
              <w:bottom w:val="single" w:color="7F7F7F" w:sz="4" w:space="0"/>
              <w:insideH w:val="single" w:sz="4" w:space="0"/>
            </w:tcBorders>
          </w:tcPr>
          <w:p w14:paraId="4DB5D61C">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Help</w:t>
            </w:r>
          </w:p>
        </w:tc>
        <w:tc>
          <w:tcPr>
            <w:tcW w:w="3613" w:type="dxa"/>
            <w:tcBorders>
              <w:top w:val="single" w:color="7F7F7F" w:sz="4" w:space="0"/>
              <w:bottom w:val="single" w:color="7F7F7F" w:sz="4" w:space="0"/>
              <w:insideH w:val="single" w:sz="4" w:space="0"/>
            </w:tcBorders>
          </w:tcPr>
          <w:p w14:paraId="53E3C092">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140</w:t>
            </w:r>
          </w:p>
        </w:tc>
      </w:tr>
      <w:tr w14:paraId="3E4D3FA5">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60674201">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14</w:t>
            </w:r>
          </w:p>
        </w:tc>
        <w:tc>
          <w:tcPr>
            <w:tcW w:w="4536" w:type="dxa"/>
          </w:tcPr>
          <w:p w14:paraId="745C0C1B">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Chapter</w:t>
            </w:r>
          </w:p>
        </w:tc>
        <w:tc>
          <w:tcPr>
            <w:tcW w:w="3613" w:type="dxa"/>
          </w:tcPr>
          <w:p w14:paraId="0A496FA8">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138</w:t>
            </w:r>
          </w:p>
        </w:tc>
      </w:tr>
      <w:tr w14:paraId="201CF39D">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348F7EF3">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15</w:t>
            </w:r>
          </w:p>
        </w:tc>
        <w:tc>
          <w:tcPr>
            <w:tcW w:w="4536" w:type="dxa"/>
            <w:tcBorders>
              <w:top w:val="single" w:color="7F7F7F" w:sz="4" w:space="0"/>
              <w:bottom w:val="single" w:color="7F7F7F" w:sz="4" w:space="0"/>
              <w:insideH w:val="single" w:sz="4" w:space="0"/>
            </w:tcBorders>
          </w:tcPr>
          <w:p w14:paraId="0005FA3C">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Amen</w:t>
            </w:r>
          </w:p>
        </w:tc>
        <w:tc>
          <w:tcPr>
            <w:tcW w:w="3613" w:type="dxa"/>
            <w:tcBorders>
              <w:top w:val="single" w:color="7F7F7F" w:sz="4" w:space="0"/>
              <w:bottom w:val="single" w:color="7F7F7F" w:sz="4" w:space="0"/>
              <w:insideH w:val="single" w:sz="4" w:space="0"/>
            </w:tcBorders>
          </w:tcPr>
          <w:p w14:paraId="005D8DFE">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129</w:t>
            </w:r>
          </w:p>
        </w:tc>
      </w:tr>
      <w:tr w14:paraId="50180B11">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11BA80DC">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16</w:t>
            </w:r>
          </w:p>
        </w:tc>
        <w:tc>
          <w:tcPr>
            <w:tcW w:w="4536" w:type="dxa"/>
          </w:tcPr>
          <w:p w14:paraId="3AEE2687">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Father</w:t>
            </w:r>
          </w:p>
        </w:tc>
        <w:tc>
          <w:tcPr>
            <w:tcW w:w="3613" w:type="dxa"/>
          </w:tcPr>
          <w:p w14:paraId="5D48E222">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121</w:t>
            </w:r>
          </w:p>
        </w:tc>
      </w:tr>
      <w:tr w14:paraId="04115B2C">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456D676A">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17</w:t>
            </w:r>
          </w:p>
        </w:tc>
        <w:tc>
          <w:tcPr>
            <w:tcW w:w="4536" w:type="dxa"/>
            <w:tcBorders>
              <w:top w:val="single" w:color="7F7F7F" w:sz="4" w:space="0"/>
              <w:bottom w:val="single" w:color="7F7F7F" w:sz="4" w:space="0"/>
              <w:insideH w:val="single" w:sz="4" w:space="0"/>
            </w:tcBorders>
          </w:tcPr>
          <w:p w14:paraId="112517FD">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Somebody</w:t>
            </w:r>
          </w:p>
        </w:tc>
        <w:tc>
          <w:tcPr>
            <w:tcW w:w="3613" w:type="dxa"/>
            <w:tcBorders>
              <w:top w:val="single" w:color="7F7F7F" w:sz="4" w:space="0"/>
              <w:bottom w:val="single" w:color="7F7F7F" w:sz="4" w:space="0"/>
              <w:insideH w:val="single" w:sz="4" w:space="0"/>
            </w:tcBorders>
          </w:tcPr>
          <w:p w14:paraId="57160D84">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120</w:t>
            </w:r>
          </w:p>
        </w:tc>
      </w:tr>
      <w:tr w14:paraId="560B5046">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28E34EC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18</w:t>
            </w:r>
          </w:p>
        </w:tc>
        <w:tc>
          <w:tcPr>
            <w:tcW w:w="4536" w:type="dxa"/>
          </w:tcPr>
          <w:p w14:paraId="3351C6B7">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Way</w:t>
            </w:r>
          </w:p>
        </w:tc>
        <w:tc>
          <w:tcPr>
            <w:tcW w:w="3613" w:type="dxa"/>
          </w:tcPr>
          <w:p w14:paraId="63412A94">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119</w:t>
            </w:r>
          </w:p>
        </w:tc>
      </w:tr>
      <w:tr w14:paraId="40F3A316">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7F7F7F" w:sz="4" w:space="0"/>
              <w:bottom w:val="single" w:color="7F7F7F" w:sz="4" w:space="0"/>
              <w:insideH w:val="single" w:sz="4" w:space="0"/>
            </w:tcBorders>
          </w:tcPr>
          <w:p w14:paraId="0B136579">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19</w:t>
            </w:r>
          </w:p>
        </w:tc>
        <w:tc>
          <w:tcPr>
            <w:tcW w:w="4536" w:type="dxa"/>
            <w:tcBorders>
              <w:top w:val="single" w:color="7F7F7F" w:sz="4" w:space="0"/>
              <w:bottom w:val="single" w:color="7F7F7F" w:sz="4" w:space="0"/>
              <w:insideH w:val="single" w:sz="4" w:space="0"/>
            </w:tcBorders>
          </w:tcPr>
          <w:p w14:paraId="022896D9">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Need</w:t>
            </w:r>
          </w:p>
        </w:tc>
        <w:tc>
          <w:tcPr>
            <w:tcW w:w="3613" w:type="dxa"/>
            <w:tcBorders>
              <w:top w:val="single" w:color="7F7F7F" w:sz="4" w:space="0"/>
              <w:bottom w:val="single" w:color="7F7F7F" w:sz="4" w:space="0"/>
              <w:insideH w:val="single" w:sz="4" w:space="0"/>
            </w:tcBorders>
          </w:tcPr>
          <w:p w14:paraId="6A2FA5AC">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118</w:t>
            </w:r>
          </w:p>
        </w:tc>
      </w:tr>
      <w:tr w14:paraId="59F1E92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Pr>
          <w:p w14:paraId="5DC4472D">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20</w:t>
            </w:r>
          </w:p>
        </w:tc>
        <w:tc>
          <w:tcPr>
            <w:tcW w:w="4536" w:type="dxa"/>
          </w:tcPr>
          <w:p w14:paraId="4DEB6E6D">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Heart</w:t>
            </w:r>
          </w:p>
        </w:tc>
        <w:tc>
          <w:tcPr>
            <w:tcW w:w="3613" w:type="dxa"/>
          </w:tcPr>
          <w:p w14:paraId="5BF826B6">
            <w:pPr>
              <w:spacing w:after="0" w:line="240"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117</w:t>
            </w:r>
          </w:p>
        </w:tc>
      </w:tr>
    </w:tbl>
    <w:p w14:paraId="308AA9F4">
      <w:pPr>
        <w:spacing w:line="48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Source: Author’s analysis, 2026</w:t>
      </w:r>
    </w:p>
    <w:p w14:paraId="324D3A47">
      <w:pPr>
        <w:spacing w:line="480" w:lineRule="auto"/>
        <w:jc w:val="both"/>
        <w:rPr>
          <w:rFonts w:ascii="Times New Roman" w:hAnsi="Times New Roman" w:cs="Times New Roman"/>
          <w:sz w:val="22"/>
          <w:szCs w:val="22"/>
        </w:rPr>
      </w:pPr>
      <w:r>
        <w:rPr>
          <w:rFonts w:ascii="Times New Roman" w:hAnsi="Times New Roman" w:cs="Times New Roman"/>
          <w:sz w:val="22"/>
          <w:szCs w:val="22"/>
        </w:rPr>
        <w:t>The analysis of Table 2 shows a strong concentration of lexical items related to core Christian theology, with God (918), Jesus (370), and Lord (356) as the most frequent words in the corpus. This confirms the centrality of divine reference in Nigerian sermon discourse and aligns broadly with earlier findings (Esimaje, 2012), although slight variations in frequency suggest contextual and denominational differences.</w:t>
      </w:r>
    </w:p>
    <w:p w14:paraId="57C18045">
      <w:pPr>
        <w:spacing w:line="480" w:lineRule="auto"/>
        <w:jc w:val="both"/>
        <w:rPr>
          <w:rFonts w:ascii="Times New Roman" w:hAnsi="Times New Roman" w:cs="Times New Roman"/>
          <w:sz w:val="22"/>
          <w:szCs w:val="22"/>
        </w:rPr>
      </w:pPr>
      <w:r>
        <w:rPr>
          <w:rFonts w:ascii="Times New Roman" w:hAnsi="Times New Roman" w:cs="Times New Roman"/>
          <w:sz w:val="22"/>
          <w:szCs w:val="22"/>
        </w:rPr>
        <w:t>From the perspective of the ideational metafunction, this lexical pattern constructs a theocentric worldview, where divine entities are consistently foregrounded as the primary reference point for interpreting human experience. Based on this finding, the recurrence of divine terms functions as a discursive strategy for reinforcing spiritual authority and religious meaning.</w:t>
      </w:r>
    </w:p>
    <w:p w14:paraId="3562C609">
      <w:pPr>
        <w:spacing w:line="480" w:lineRule="auto"/>
        <w:jc w:val="both"/>
        <w:rPr>
          <w:rFonts w:ascii="Times New Roman" w:hAnsi="Times New Roman" w:cs="Times New Roman"/>
          <w:sz w:val="22"/>
          <w:szCs w:val="22"/>
        </w:rPr>
      </w:pPr>
      <w:r>
        <w:rPr>
          <w:rFonts w:ascii="Times New Roman" w:hAnsi="Times New Roman" w:cs="Times New Roman"/>
          <w:sz w:val="22"/>
          <w:szCs w:val="22"/>
        </w:rPr>
        <w:t>Beyond divine reference, frequent items such as life (325), faith (296), man (222), heart (117), and need (118) indicate a strong orientation toward human experience and personal spirituality. Compared with earlier studies, this suggests a shift toward greater emphasis on lived religious experience alongside doctrinal teaching. Scriptural terms such as word (176), Bible (98), and verse (218) further reinforce the Bible as the interpretive foundation of sermon discourse.</w:t>
      </w:r>
    </w:p>
    <w:p w14:paraId="16503FFE">
      <w:pPr>
        <w:spacing w:line="480" w:lineRule="auto"/>
        <w:jc w:val="both"/>
        <w:rPr>
          <w:rFonts w:ascii="Times New Roman" w:hAnsi="Times New Roman" w:cs="Times New Roman"/>
          <w:sz w:val="22"/>
          <w:szCs w:val="22"/>
        </w:rPr>
      </w:pPr>
      <w:r>
        <w:rPr>
          <w:rFonts w:ascii="Times New Roman" w:hAnsi="Times New Roman" w:cs="Times New Roman"/>
          <w:sz w:val="22"/>
          <w:szCs w:val="22"/>
        </w:rPr>
        <w:t>In addition, the recurrence of terms such as power (194), spirit (196), and help (140) reflects an ideology of practical spirituality, where faith is framed as a resource for empowerment, guidance, and everyday problem-solving. Overall, the lexical distribution indicates that Nigerian sermons combine theological emphasis with experiential and practical concerns, constructing a discourse in which divine authority, human need, and spiritual empowerment are closely interconnected.</w:t>
      </w:r>
    </w:p>
    <w:p w14:paraId="52A6CA3C">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Keyword Distribution </w:t>
      </w:r>
    </w:p>
    <w:p w14:paraId="250A72D0">
      <w:pPr>
        <w:spacing w:after="120" w:line="240" w:lineRule="auto"/>
        <w:jc w:val="both"/>
        <w:rPr>
          <w:rFonts w:ascii="Times New Roman" w:hAnsi="Times New Roman" w:cs="Times New Roman"/>
          <w:b/>
          <w:bCs/>
          <w:sz w:val="22"/>
          <w:szCs w:val="22"/>
        </w:rPr>
      </w:pPr>
      <w:r>
        <w:rPr>
          <w:rFonts w:ascii="Times New Roman" w:hAnsi="Times New Roman" w:cs="Times New Roman"/>
          <w:b/>
          <w:bCs/>
          <w:sz w:val="22"/>
          <w:szCs w:val="22"/>
        </w:rPr>
        <w:t>Table 3: Distribution of the Major Keywords in the Nigerian Sermon Corpus</w:t>
      </w:r>
    </w:p>
    <w:tbl>
      <w:tblPr>
        <w:tblStyle w:val="49"/>
        <w:tblW w:w="9749" w:type="dxa"/>
        <w:tblInd w:w="0"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4"/>
        <w:gridCol w:w="2171"/>
        <w:gridCol w:w="2410"/>
        <w:gridCol w:w="2410"/>
        <w:gridCol w:w="1984"/>
      </w:tblGrid>
      <w:tr w14:paraId="40FE4845">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bottom w:val="single" w:color="7F7F7F" w:sz="4" w:space="0"/>
              <w:insideH w:val="single" w:sz="4" w:space="0"/>
            </w:tcBorders>
          </w:tcPr>
          <w:p w14:paraId="1CE34B70">
            <w:pPr>
              <w:spacing w:after="0" w:line="276" w:lineRule="auto"/>
              <w:ind w:right="43"/>
              <w:jc w:val="center"/>
              <w:rPr>
                <w:rFonts w:ascii="Times New Roman" w:hAnsi="Times New Roman" w:eastAsia="Calibri" w:cs="Times New Roman"/>
                <w:b/>
                <w:bCs/>
                <w:color w:val="000000"/>
                <w:sz w:val="22"/>
                <w:szCs w:val="22"/>
              </w:rPr>
            </w:pPr>
            <w:bookmarkStart w:id="0" w:name="_Hlk223906236"/>
            <w:r>
              <w:rPr>
                <w:rFonts w:ascii="Times New Roman" w:hAnsi="Times New Roman" w:cs="Times New Roman"/>
                <w:b/>
                <w:bCs/>
                <w:sz w:val="22"/>
                <w:szCs w:val="22"/>
              </w:rPr>
              <w:t>Rank</w:t>
            </w:r>
          </w:p>
        </w:tc>
        <w:tc>
          <w:tcPr>
            <w:tcW w:w="2171" w:type="dxa"/>
            <w:tcBorders>
              <w:bottom w:val="single" w:color="7F7F7F" w:sz="4" w:space="0"/>
              <w:insideH w:val="single" w:sz="4" w:space="0"/>
            </w:tcBorders>
          </w:tcPr>
          <w:p w14:paraId="56D1D22A">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Keywo</w:t>
            </w:r>
            <w:r>
              <w:rPr>
                <w:rFonts w:ascii="Times New Roman" w:hAnsi="Times New Roman" w:cs="Times New Roman"/>
                <w:b/>
                <w:bCs/>
                <w:sz w:val="22"/>
                <w:szCs w:val="22"/>
              </w:rPr>
              <w:t>rds</w:t>
            </w:r>
          </w:p>
        </w:tc>
        <w:tc>
          <w:tcPr>
            <w:tcW w:w="2410" w:type="dxa"/>
            <w:tcBorders>
              <w:bottom w:val="single" w:color="7F7F7F" w:sz="4" w:space="0"/>
              <w:insideH w:val="single" w:sz="4" w:space="0"/>
            </w:tcBorders>
          </w:tcPr>
          <w:p w14:paraId="4A78843A">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F</w:t>
            </w:r>
            <w:r>
              <w:rPr>
                <w:rFonts w:ascii="Times New Roman" w:hAnsi="Times New Roman" w:cs="Times New Roman"/>
                <w:b/>
                <w:bCs/>
                <w:sz w:val="22"/>
                <w:szCs w:val="22"/>
              </w:rPr>
              <w:t>requency (Sermon Corpus)</w:t>
            </w:r>
          </w:p>
        </w:tc>
        <w:tc>
          <w:tcPr>
            <w:tcW w:w="2410" w:type="dxa"/>
            <w:tcBorders>
              <w:bottom w:val="single" w:color="7F7F7F" w:sz="4" w:space="0"/>
              <w:insideH w:val="single" w:sz="4" w:space="0"/>
            </w:tcBorders>
          </w:tcPr>
          <w:p w14:paraId="0C757F4A">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F</w:t>
            </w:r>
            <w:r>
              <w:rPr>
                <w:rFonts w:ascii="Times New Roman" w:hAnsi="Times New Roman" w:cs="Times New Roman"/>
                <w:b/>
                <w:bCs/>
                <w:sz w:val="22"/>
                <w:szCs w:val="22"/>
              </w:rPr>
              <w:t>requency (Reference Corpus)</w:t>
            </w:r>
          </w:p>
        </w:tc>
        <w:tc>
          <w:tcPr>
            <w:tcW w:w="1984" w:type="dxa"/>
            <w:tcBorders>
              <w:bottom w:val="single" w:color="7F7F7F" w:sz="4" w:space="0"/>
              <w:insideH w:val="single" w:sz="4" w:space="0"/>
            </w:tcBorders>
          </w:tcPr>
          <w:p w14:paraId="12A0E1AC">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Keyness (LL)</w:t>
            </w:r>
          </w:p>
        </w:tc>
      </w:tr>
      <w:tr w14:paraId="36D5A9F3">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76274F29">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2171" w:type="dxa"/>
            <w:tcBorders>
              <w:top w:val="single" w:color="7F7F7F" w:sz="4" w:space="0"/>
              <w:bottom w:val="single" w:color="7F7F7F" w:sz="4" w:space="0"/>
              <w:insideH w:val="single" w:sz="4" w:space="0"/>
            </w:tcBorders>
          </w:tcPr>
          <w:p w14:paraId="5D14DEC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Jesus</w:t>
            </w:r>
          </w:p>
        </w:tc>
        <w:tc>
          <w:tcPr>
            <w:tcW w:w="2410" w:type="dxa"/>
            <w:tcBorders>
              <w:top w:val="single" w:color="7F7F7F" w:sz="4" w:space="0"/>
              <w:bottom w:val="single" w:color="7F7F7F" w:sz="4" w:space="0"/>
              <w:insideH w:val="single" w:sz="4" w:space="0"/>
            </w:tcBorders>
          </w:tcPr>
          <w:p w14:paraId="04B2DD3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370</w:t>
            </w:r>
          </w:p>
        </w:tc>
        <w:tc>
          <w:tcPr>
            <w:tcW w:w="2410" w:type="dxa"/>
            <w:tcBorders>
              <w:top w:val="single" w:color="7F7F7F" w:sz="4" w:space="0"/>
              <w:bottom w:val="single" w:color="7F7F7F" w:sz="4" w:space="0"/>
              <w:insideH w:val="single" w:sz="4" w:space="0"/>
            </w:tcBorders>
          </w:tcPr>
          <w:p w14:paraId="5CDE7DC5">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9</w:t>
            </w:r>
          </w:p>
        </w:tc>
        <w:tc>
          <w:tcPr>
            <w:tcW w:w="1984" w:type="dxa"/>
            <w:tcBorders>
              <w:top w:val="single" w:color="7F7F7F" w:sz="4" w:space="0"/>
              <w:bottom w:val="single" w:color="7F7F7F" w:sz="4" w:space="0"/>
              <w:insideH w:val="single" w:sz="4" w:space="0"/>
            </w:tcBorders>
          </w:tcPr>
          <w:p w14:paraId="5E8BDE22">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176.118</w:t>
            </w:r>
          </w:p>
        </w:tc>
      </w:tr>
      <w:tr w14:paraId="220199A4">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3DE5A2D3">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2</w:t>
            </w:r>
          </w:p>
        </w:tc>
        <w:tc>
          <w:tcPr>
            <w:tcW w:w="2171" w:type="dxa"/>
          </w:tcPr>
          <w:p w14:paraId="2DA4406F">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Lo</w:t>
            </w:r>
            <w:r>
              <w:rPr>
                <w:rFonts w:ascii="Times New Roman" w:hAnsi="Times New Roman" w:cs="Times New Roman"/>
                <w:sz w:val="22"/>
                <w:szCs w:val="22"/>
              </w:rPr>
              <w:t>rd</w:t>
            </w:r>
          </w:p>
        </w:tc>
        <w:tc>
          <w:tcPr>
            <w:tcW w:w="2410" w:type="dxa"/>
          </w:tcPr>
          <w:p w14:paraId="1148BC9E">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356</w:t>
            </w:r>
          </w:p>
        </w:tc>
        <w:tc>
          <w:tcPr>
            <w:tcW w:w="2410" w:type="dxa"/>
          </w:tcPr>
          <w:p w14:paraId="2E78A828">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13</w:t>
            </w:r>
          </w:p>
        </w:tc>
        <w:tc>
          <w:tcPr>
            <w:tcW w:w="1984" w:type="dxa"/>
          </w:tcPr>
          <w:p w14:paraId="65D7C731">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149.998</w:t>
            </w:r>
          </w:p>
        </w:tc>
      </w:tr>
      <w:tr w14:paraId="34CFF00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326FDF34">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3</w:t>
            </w:r>
          </w:p>
        </w:tc>
        <w:tc>
          <w:tcPr>
            <w:tcW w:w="2171" w:type="dxa"/>
            <w:tcBorders>
              <w:top w:val="single" w:color="7F7F7F" w:sz="4" w:space="0"/>
              <w:bottom w:val="single" w:color="7F7F7F" w:sz="4" w:space="0"/>
              <w:insideH w:val="single" w:sz="4" w:space="0"/>
            </w:tcBorders>
          </w:tcPr>
          <w:p w14:paraId="08D29154">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Verse</w:t>
            </w:r>
          </w:p>
        </w:tc>
        <w:tc>
          <w:tcPr>
            <w:tcW w:w="2410" w:type="dxa"/>
            <w:tcBorders>
              <w:top w:val="single" w:color="7F7F7F" w:sz="4" w:space="0"/>
              <w:bottom w:val="single" w:color="7F7F7F" w:sz="4" w:space="0"/>
              <w:insideH w:val="single" w:sz="4" w:space="0"/>
            </w:tcBorders>
          </w:tcPr>
          <w:p w14:paraId="111E0947">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218</w:t>
            </w:r>
          </w:p>
        </w:tc>
        <w:tc>
          <w:tcPr>
            <w:tcW w:w="2410" w:type="dxa"/>
            <w:tcBorders>
              <w:top w:val="single" w:color="7F7F7F" w:sz="4" w:space="0"/>
              <w:bottom w:val="single" w:color="7F7F7F" w:sz="4" w:space="0"/>
              <w:insideH w:val="single" w:sz="4" w:space="0"/>
            </w:tcBorders>
          </w:tcPr>
          <w:p w14:paraId="4856A064">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0</w:t>
            </w:r>
          </w:p>
        </w:tc>
        <w:tc>
          <w:tcPr>
            <w:tcW w:w="1984" w:type="dxa"/>
            <w:tcBorders>
              <w:top w:val="single" w:color="7F7F7F" w:sz="4" w:space="0"/>
              <w:bottom w:val="single" w:color="7F7F7F" w:sz="4" w:space="0"/>
              <w:insideH w:val="single" w:sz="4" w:space="0"/>
            </w:tcBorders>
          </w:tcPr>
          <w:p w14:paraId="3E53EDA0">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140.137</w:t>
            </w:r>
          </w:p>
        </w:tc>
      </w:tr>
      <w:tr w14:paraId="6B4FA2B2">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28386C1A">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4</w:t>
            </w:r>
          </w:p>
        </w:tc>
        <w:tc>
          <w:tcPr>
            <w:tcW w:w="2171" w:type="dxa"/>
          </w:tcPr>
          <w:p w14:paraId="1797EB5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God</w:t>
            </w:r>
          </w:p>
        </w:tc>
        <w:tc>
          <w:tcPr>
            <w:tcW w:w="2410" w:type="dxa"/>
          </w:tcPr>
          <w:p w14:paraId="3A2BACB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918</w:t>
            </w:r>
          </w:p>
        </w:tc>
        <w:tc>
          <w:tcPr>
            <w:tcW w:w="2410" w:type="dxa"/>
          </w:tcPr>
          <w:p w14:paraId="388EA37B">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155</w:t>
            </w:r>
          </w:p>
        </w:tc>
        <w:tc>
          <w:tcPr>
            <w:tcW w:w="1984" w:type="dxa"/>
          </w:tcPr>
          <w:p w14:paraId="532270D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104.684</w:t>
            </w:r>
          </w:p>
        </w:tc>
      </w:tr>
      <w:tr w14:paraId="18BF6FD7">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69218883">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5</w:t>
            </w:r>
          </w:p>
        </w:tc>
        <w:tc>
          <w:tcPr>
            <w:tcW w:w="2171" w:type="dxa"/>
            <w:tcBorders>
              <w:top w:val="single" w:color="7F7F7F" w:sz="4" w:space="0"/>
              <w:bottom w:val="single" w:color="7F7F7F" w:sz="4" w:space="0"/>
              <w:insideH w:val="single" w:sz="4" w:space="0"/>
            </w:tcBorders>
          </w:tcPr>
          <w:p w14:paraId="467F018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Spi</w:t>
            </w:r>
            <w:r>
              <w:rPr>
                <w:rFonts w:ascii="Times New Roman" w:hAnsi="Times New Roman" w:eastAsia="Calibri" w:cs="Times New Roman"/>
                <w:color w:val="000000"/>
                <w:sz w:val="22"/>
                <w:szCs w:val="22"/>
              </w:rPr>
              <w:t>rit</w:t>
            </w:r>
          </w:p>
        </w:tc>
        <w:tc>
          <w:tcPr>
            <w:tcW w:w="2410" w:type="dxa"/>
            <w:tcBorders>
              <w:top w:val="single" w:color="7F7F7F" w:sz="4" w:space="0"/>
              <w:bottom w:val="single" w:color="7F7F7F" w:sz="4" w:space="0"/>
              <w:insideH w:val="single" w:sz="4" w:space="0"/>
            </w:tcBorders>
          </w:tcPr>
          <w:p w14:paraId="116B50A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196</w:t>
            </w:r>
          </w:p>
        </w:tc>
        <w:tc>
          <w:tcPr>
            <w:tcW w:w="2410" w:type="dxa"/>
            <w:tcBorders>
              <w:top w:val="single" w:color="7F7F7F" w:sz="4" w:space="0"/>
              <w:bottom w:val="single" w:color="7F7F7F" w:sz="4" w:space="0"/>
              <w:insideH w:val="single" w:sz="4" w:space="0"/>
            </w:tcBorders>
          </w:tcPr>
          <w:p w14:paraId="5D019C49">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6</w:t>
            </w:r>
          </w:p>
        </w:tc>
        <w:tc>
          <w:tcPr>
            <w:tcW w:w="1984" w:type="dxa"/>
            <w:tcBorders>
              <w:top w:val="single" w:color="7F7F7F" w:sz="4" w:space="0"/>
              <w:bottom w:val="single" w:color="7F7F7F" w:sz="4" w:space="0"/>
              <w:insideH w:val="single" w:sz="4" w:space="0"/>
            </w:tcBorders>
          </w:tcPr>
          <w:p w14:paraId="21D58E4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87.453</w:t>
            </w:r>
          </w:p>
        </w:tc>
      </w:tr>
      <w:tr w14:paraId="30F2BDEF">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03325A3C">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6</w:t>
            </w:r>
          </w:p>
        </w:tc>
        <w:tc>
          <w:tcPr>
            <w:tcW w:w="2171" w:type="dxa"/>
          </w:tcPr>
          <w:p w14:paraId="3DBC5C1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Amen</w:t>
            </w:r>
          </w:p>
        </w:tc>
        <w:tc>
          <w:tcPr>
            <w:tcW w:w="2410" w:type="dxa"/>
          </w:tcPr>
          <w:p w14:paraId="7E25528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129</w:t>
            </w:r>
          </w:p>
        </w:tc>
        <w:tc>
          <w:tcPr>
            <w:tcW w:w="2410" w:type="dxa"/>
          </w:tcPr>
          <w:p w14:paraId="78DB8E55">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0</w:t>
            </w:r>
          </w:p>
        </w:tc>
        <w:tc>
          <w:tcPr>
            <w:tcW w:w="1984" w:type="dxa"/>
          </w:tcPr>
          <w:p w14:paraId="19F040C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82.890</w:t>
            </w:r>
          </w:p>
        </w:tc>
      </w:tr>
      <w:tr w14:paraId="7F3AB83F">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6B6D3BE9">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7</w:t>
            </w:r>
          </w:p>
        </w:tc>
        <w:tc>
          <w:tcPr>
            <w:tcW w:w="2171" w:type="dxa"/>
            <w:tcBorders>
              <w:top w:val="single" w:color="7F7F7F" w:sz="4" w:space="0"/>
              <w:bottom w:val="single" w:color="7F7F7F" w:sz="4" w:space="0"/>
              <w:insideH w:val="single" w:sz="4" w:space="0"/>
            </w:tcBorders>
          </w:tcPr>
          <w:p w14:paraId="58A03B6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Somebody</w:t>
            </w:r>
          </w:p>
        </w:tc>
        <w:tc>
          <w:tcPr>
            <w:tcW w:w="2410" w:type="dxa"/>
            <w:tcBorders>
              <w:top w:val="single" w:color="7F7F7F" w:sz="4" w:space="0"/>
              <w:bottom w:val="single" w:color="7F7F7F" w:sz="4" w:space="0"/>
              <w:insideH w:val="single" w:sz="4" w:space="0"/>
            </w:tcBorders>
          </w:tcPr>
          <w:p w14:paraId="1614A017">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120</w:t>
            </w:r>
          </w:p>
        </w:tc>
        <w:tc>
          <w:tcPr>
            <w:tcW w:w="2410" w:type="dxa"/>
            <w:tcBorders>
              <w:top w:val="single" w:color="7F7F7F" w:sz="4" w:space="0"/>
              <w:bottom w:val="single" w:color="7F7F7F" w:sz="4" w:space="0"/>
              <w:insideH w:val="single" w:sz="4" w:space="0"/>
            </w:tcBorders>
          </w:tcPr>
          <w:p w14:paraId="304E3D8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0</w:t>
            </w:r>
          </w:p>
        </w:tc>
        <w:tc>
          <w:tcPr>
            <w:tcW w:w="1984" w:type="dxa"/>
            <w:tcBorders>
              <w:top w:val="single" w:color="7F7F7F" w:sz="4" w:space="0"/>
              <w:bottom w:val="single" w:color="7F7F7F" w:sz="4" w:space="0"/>
              <w:insideH w:val="single" w:sz="4" w:space="0"/>
            </w:tcBorders>
          </w:tcPr>
          <w:p w14:paraId="449ABC68">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77.104</w:t>
            </w:r>
          </w:p>
        </w:tc>
      </w:tr>
      <w:tr w14:paraId="62969B31">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0ABB3A42">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8</w:t>
            </w:r>
          </w:p>
        </w:tc>
        <w:tc>
          <w:tcPr>
            <w:tcW w:w="2171" w:type="dxa"/>
          </w:tcPr>
          <w:p w14:paraId="4BB6A2B5">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Life</w:t>
            </w:r>
          </w:p>
        </w:tc>
        <w:tc>
          <w:tcPr>
            <w:tcW w:w="2410" w:type="dxa"/>
          </w:tcPr>
          <w:p w14:paraId="388CE47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325</w:t>
            </w:r>
          </w:p>
        </w:tc>
        <w:tc>
          <w:tcPr>
            <w:tcW w:w="2410" w:type="dxa"/>
          </w:tcPr>
          <w:p w14:paraId="102502CC">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36</w:t>
            </w:r>
          </w:p>
        </w:tc>
        <w:tc>
          <w:tcPr>
            <w:tcW w:w="1984" w:type="dxa"/>
          </w:tcPr>
          <w:p w14:paraId="76E8F89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67.641</w:t>
            </w:r>
          </w:p>
        </w:tc>
      </w:tr>
      <w:tr w14:paraId="56A0DFC4">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PrEx>
        <w:tc>
          <w:tcPr>
            <w:tcW w:w="774" w:type="dxa"/>
            <w:tcBorders>
              <w:top w:val="single" w:color="7F7F7F" w:sz="4" w:space="0"/>
              <w:bottom w:val="single" w:color="7F7F7F" w:sz="4" w:space="0"/>
              <w:insideH w:val="single" w:sz="4" w:space="0"/>
            </w:tcBorders>
          </w:tcPr>
          <w:p w14:paraId="46CC7FE4">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9</w:t>
            </w:r>
          </w:p>
        </w:tc>
        <w:tc>
          <w:tcPr>
            <w:tcW w:w="2171" w:type="dxa"/>
            <w:tcBorders>
              <w:top w:val="single" w:color="7F7F7F" w:sz="4" w:space="0"/>
              <w:bottom w:val="single" w:color="7F7F7F" w:sz="4" w:space="0"/>
              <w:insideH w:val="single" w:sz="4" w:space="0"/>
            </w:tcBorders>
          </w:tcPr>
          <w:p w14:paraId="2E53268B">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Faith</w:t>
            </w:r>
          </w:p>
        </w:tc>
        <w:tc>
          <w:tcPr>
            <w:tcW w:w="2410" w:type="dxa"/>
            <w:tcBorders>
              <w:top w:val="single" w:color="7F7F7F" w:sz="4" w:space="0"/>
              <w:bottom w:val="single" w:color="7F7F7F" w:sz="4" w:space="0"/>
              <w:insideH w:val="single" w:sz="4" w:space="0"/>
            </w:tcBorders>
          </w:tcPr>
          <w:p w14:paraId="46FA7EBC">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296</w:t>
            </w:r>
          </w:p>
        </w:tc>
        <w:tc>
          <w:tcPr>
            <w:tcW w:w="2410" w:type="dxa"/>
            <w:tcBorders>
              <w:top w:val="single" w:color="7F7F7F" w:sz="4" w:space="0"/>
              <w:bottom w:val="single" w:color="7F7F7F" w:sz="4" w:space="0"/>
              <w:insideH w:val="single" w:sz="4" w:space="0"/>
            </w:tcBorders>
          </w:tcPr>
          <w:p w14:paraId="12DCBCC7">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30</w:t>
            </w:r>
          </w:p>
        </w:tc>
        <w:tc>
          <w:tcPr>
            <w:tcW w:w="1984" w:type="dxa"/>
            <w:tcBorders>
              <w:top w:val="single" w:color="7F7F7F" w:sz="4" w:space="0"/>
              <w:bottom w:val="single" w:color="7F7F7F" w:sz="4" w:space="0"/>
              <w:insideH w:val="single" w:sz="4" w:space="0"/>
            </w:tcBorders>
          </w:tcPr>
          <w:p w14:paraId="3942E6E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67.470</w:t>
            </w:r>
          </w:p>
        </w:tc>
      </w:tr>
      <w:tr w14:paraId="3ECAB42D">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74B556B7">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10</w:t>
            </w:r>
          </w:p>
        </w:tc>
        <w:tc>
          <w:tcPr>
            <w:tcW w:w="2171" w:type="dxa"/>
          </w:tcPr>
          <w:p w14:paraId="6BCC95A0">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Chapte</w:t>
            </w:r>
            <w:r>
              <w:rPr>
                <w:rFonts w:ascii="Times New Roman" w:hAnsi="Times New Roman" w:eastAsia="Calibri" w:cs="Times New Roman"/>
                <w:color w:val="000000"/>
                <w:sz w:val="22"/>
                <w:szCs w:val="22"/>
              </w:rPr>
              <w:t>r</w:t>
            </w:r>
          </w:p>
        </w:tc>
        <w:tc>
          <w:tcPr>
            <w:tcW w:w="2410" w:type="dxa"/>
          </w:tcPr>
          <w:p w14:paraId="229511B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138</w:t>
            </w:r>
          </w:p>
        </w:tc>
        <w:tc>
          <w:tcPr>
            <w:tcW w:w="2410" w:type="dxa"/>
          </w:tcPr>
          <w:p w14:paraId="4BD647D1">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w:t>
            </w:r>
          </w:p>
        </w:tc>
        <w:tc>
          <w:tcPr>
            <w:tcW w:w="1984" w:type="dxa"/>
          </w:tcPr>
          <w:p w14:paraId="768DF3B1">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67.388</w:t>
            </w:r>
          </w:p>
        </w:tc>
      </w:tr>
      <w:tr w14:paraId="0AD80244">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016F0B54">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11</w:t>
            </w:r>
          </w:p>
        </w:tc>
        <w:tc>
          <w:tcPr>
            <w:tcW w:w="2171" w:type="dxa"/>
            <w:tcBorders>
              <w:top w:val="single" w:color="7F7F7F" w:sz="4" w:space="0"/>
              <w:bottom w:val="single" w:color="7F7F7F" w:sz="4" w:space="0"/>
              <w:insideH w:val="single" w:sz="4" w:space="0"/>
            </w:tcBorders>
          </w:tcPr>
          <w:p w14:paraId="1C1234FD">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Hea</w:t>
            </w:r>
            <w:r>
              <w:rPr>
                <w:rFonts w:ascii="Times New Roman" w:hAnsi="Times New Roman" w:eastAsia="Calibri" w:cs="Times New Roman"/>
                <w:color w:val="000000"/>
                <w:sz w:val="22"/>
                <w:szCs w:val="22"/>
              </w:rPr>
              <w:t>rt</w:t>
            </w:r>
          </w:p>
        </w:tc>
        <w:tc>
          <w:tcPr>
            <w:tcW w:w="2410" w:type="dxa"/>
            <w:tcBorders>
              <w:top w:val="single" w:color="7F7F7F" w:sz="4" w:space="0"/>
              <w:bottom w:val="single" w:color="7F7F7F" w:sz="4" w:space="0"/>
              <w:insideH w:val="single" w:sz="4" w:space="0"/>
            </w:tcBorders>
          </w:tcPr>
          <w:p w14:paraId="01878C7B">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117</w:t>
            </w:r>
          </w:p>
        </w:tc>
        <w:tc>
          <w:tcPr>
            <w:tcW w:w="2410" w:type="dxa"/>
            <w:tcBorders>
              <w:top w:val="single" w:color="7F7F7F" w:sz="4" w:space="0"/>
              <w:bottom w:val="single" w:color="7F7F7F" w:sz="4" w:space="0"/>
              <w:insideH w:val="single" w:sz="4" w:space="0"/>
            </w:tcBorders>
          </w:tcPr>
          <w:p w14:paraId="4824FCF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4</w:t>
            </w:r>
          </w:p>
        </w:tc>
        <w:tc>
          <w:tcPr>
            <w:tcW w:w="1984" w:type="dxa"/>
            <w:tcBorders>
              <w:top w:val="single" w:color="7F7F7F" w:sz="4" w:space="0"/>
              <w:bottom w:val="single" w:color="7F7F7F" w:sz="4" w:space="0"/>
              <w:insideH w:val="single" w:sz="4" w:space="0"/>
            </w:tcBorders>
          </w:tcPr>
          <w:p w14:paraId="4E0AAE92">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50.364</w:t>
            </w:r>
          </w:p>
        </w:tc>
      </w:tr>
      <w:tr w14:paraId="2A53820E">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1BDB9B69">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12</w:t>
            </w:r>
          </w:p>
        </w:tc>
        <w:tc>
          <w:tcPr>
            <w:tcW w:w="2171" w:type="dxa"/>
          </w:tcPr>
          <w:p w14:paraId="52E5C12B">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Man</w:t>
            </w:r>
          </w:p>
        </w:tc>
        <w:tc>
          <w:tcPr>
            <w:tcW w:w="2410" w:type="dxa"/>
          </w:tcPr>
          <w:p w14:paraId="53306709">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222</w:t>
            </w:r>
          </w:p>
        </w:tc>
        <w:tc>
          <w:tcPr>
            <w:tcW w:w="2410" w:type="dxa"/>
          </w:tcPr>
          <w:p w14:paraId="02EDAB00">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24</w:t>
            </w:r>
          </w:p>
        </w:tc>
        <w:tc>
          <w:tcPr>
            <w:tcW w:w="1984" w:type="dxa"/>
          </w:tcPr>
          <w:p w14:paraId="72C5D399">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47.381</w:t>
            </w:r>
          </w:p>
        </w:tc>
      </w:tr>
      <w:tr w14:paraId="4FAB758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60B12C06">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13</w:t>
            </w:r>
          </w:p>
        </w:tc>
        <w:tc>
          <w:tcPr>
            <w:tcW w:w="2171" w:type="dxa"/>
            <w:tcBorders>
              <w:top w:val="single" w:color="7F7F7F" w:sz="4" w:space="0"/>
              <w:bottom w:val="single" w:color="7F7F7F" w:sz="4" w:space="0"/>
              <w:insideH w:val="single" w:sz="4" w:space="0"/>
            </w:tcBorders>
          </w:tcPr>
          <w:p w14:paraId="07F2D353">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Ch</w:t>
            </w:r>
            <w:r>
              <w:rPr>
                <w:rFonts w:ascii="Times New Roman" w:hAnsi="Times New Roman" w:eastAsia="Calibri" w:cs="Times New Roman"/>
                <w:color w:val="000000"/>
                <w:sz w:val="22"/>
                <w:szCs w:val="22"/>
              </w:rPr>
              <w:t>rist</w:t>
            </w:r>
          </w:p>
        </w:tc>
        <w:tc>
          <w:tcPr>
            <w:tcW w:w="2410" w:type="dxa"/>
            <w:tcBorders>
              <w:top w:val="single" w:color="7F7F7F" w:sz="4" w:space="0"/>
              <w:bottom w:val="single" w:color="7F7F7F" w:sz="4" w:space="0"/>
              <w:insideH w:val="single" w:sz="4" w:space="0"/>
            </w:tcBorders>
          </w:tcPr>
          <w:p w14:paraId="09A1D54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187</w:t>
            </w:r>
          </w:p>
        </w:tc>
        <w:tc>
          <w:tcPr>
            <w:tcW w:w="2410" w:type="dxa"/>
            <w:tcBorders>
              <w:top w:val="single" w:color="7F7F7F" w:sz="4" w:space="0"/>
              <w:bottom w:val="single" w:color="7F7F7F" w:sz="4" w:space="0"/>
              <w:insideH w:val="single" w:sz="4" w:space="0"/>
            </w:tcBorders>
          </w:tcPr>
          <w:p w14:paraId="207F81CC">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18</w:t>
            </w:r>
          </w:p>
        </w:tc>
        <w:tc>
          <w:tcPr>
            <w:tcW w:w="1984" w:type="dxa"/>
            <w:tcBorders>
              <w:top w:val="single" w:color="7F7F7F" w:sz="4" w:space="0"/>
              <w:bottom w:val="single" w:color="7F7F7F" w:sz="4" w:space="0"/>
              <w:insideH w:val="single" w:sz="4" w:space="0"/>
            </w:tcBorders>
          </w:tcPr>
          <w:p w14:paraId="56A33EC2">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44.721</w:t>
            </w:r>
          </w:p>
        </w:tc>
      </w:tr>
      <w:tr w14:paraId="5D0448CC">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7FC8F988">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14</w:t>
            </w:r>
          </w:p>
        </w:tc>
        <w:tc>
          <w:tcPr>
            <w:tcW w:w="2171" w:type="dxa"/>
          </w:tcPr>
          <w:p w14:paraId="5C19E4C5">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P</w:t>
            </w:r>
            <w:r>
              <w:rPr>
                <w:rFonts w:ascii="Times New Roman" w:hAnsi="Times New Roman" w:eastAsia="Calibri" w:cs="Times New Roman"/>
                <w:color w:val="000000"/>
                <w:sz w:val="22"/>
                <w:szCs w:val="22"/>
              </w:rPr>
              <w:t>ray</w:t>
            </w:r>
          </w:p>
        </w:tc>
        <w:tc>
          <w:tcPr>
            <w:tcW w:w="2410" w:type="dxa"/>
          </w:tcPr>
          <w:p w14:paraId="686A37E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85</w:t>
            </w:r>
          </w:p>
        </w:tc>
        <w:tc>
          <w:tcPr>
            <w:tcW w:w="2410" w:type="dxa"/>
          </w:tcPr>
          <w:p w14:paraId="4DEF66B1">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w:t>
            </w:r>
          </w:p>
        </w:tc>
        <w:tc>
          <w:tcPr>
            <w:tcW w:w="1984" w:type="dxa"/>
          </w:tcPr>
          <w:p w14:paraId="744382F8">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40.728</w:t>
            </w:r>
          </w:p>
        </w:tc>
      </w:tr>
      <w:tr w14:paraId="0B7B1AFC">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086998BF">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15</w:t>
            </w:r>
          </w:p>
        </w:tc>
        <w:tc>
          <w:tcPr>
            <w:tcW w:w="2171" w:type="dxa"/>
            <w:tcBorders>
              <w:top w:val="single" w:color="7F7F7F" w:sz="4" w:space="0"/>
              <w:bottom w:val="single" w:color="7F7F7F" w:sz="4" w:space="0"/>
              <w:insideH w:val="single" w:sz="4" w:space="0"/>
            </w:tcBorders>
          </w:tcPr>
          <w:p w14:paraId="56159AAC">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G</w:t>
            </w:r>
            <w:r>
              <w:rPr>
                <w:rFonts w:ascii="Times New Roman" w:hAnsi="Times New Roman" w:eastAsia="Calibri" w:cs="Times New Roman"/>
                <w:color w:val="000000"/>
                <w:sz w:val="22"/>
                <w:szCs w:val="22"/>
              </w:rPr>
              <w:t>race</w:t>
            </w:r>
          </w:p>
        </w:tc>
        <w:tc>
          <w:tcPr>
            <w:tcW w:w="2410" w:type="dxa"/>
            <w:tcBorders>
              <w:top w:val="single" w:color="7F7F7F" w:sz="4" w:space="0"/>
              <w:bottom w:val="single" w:color="7F7F7F" w:sz="4" w:space="0"/>
              <w:insideH w:val="single" w:sz="4" w:space="0"/>
            </w:tcBorders>
          </w:tcPr>
          <w:p w14:paraId="15DB96AC">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90</w:t>
            </w:r>
          </w:p>
        </w:tc>
        <w:tc>
          <w:tcPr>
            <w:tcW w:w="2410" w:type="dxa"/>
            <w:tcBorders>
              <w:top w:val="single" w:color="7F7F7F" w:sz="4" w:space="0"/>
              <w:bottom w:val="single" w:color="7F7F7F" w:sz="4" w:space="0"/>
              <w:insideH w:val="single" w:sz="4" w:space="0"/>
            </w:tcBorders>
          </w:tcPr>
          <w:p w14:paraId="2430045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w:t>
            </w:r>
          </w:p>
        </w:tc>
        <w:tc>
          <w:tcPr>
            <w:tcW w:w="1984" w:type="dxa"/>
            <w:tcBorders>
              <w:top w:val="single" w:color="7F7F7F" w:sz="4" w:space="0"/>
              <w:bottom w:val="single" w:color="7F7F7F" w:sz="4" w:space="0"/>
              <w:insideH w:val="single" w:sz="4" w:space="0"/>
            </w:tcBorders>
          </w:tcPr>
          <w:p w14:paraId="6122B4B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39.063</w:t>
            </w:r>
          </w:p>
        </w:tc>
      </w:tr>
      <w:tr w14:paraId="5BD362C7">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0CC6F4DD">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16</w:t>
            </w:r>
          </w:p>
        </w:tc>
        <w:tc>
          <w:tcPr>
            <w:tcW w:w="2171" w:type="dxa"/>
          </w:tcPr>
          <w:p w14:paraId="47AC886B">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Listen</w:t>
            </w:r>
          </w:p>
        </w:tc>
        <w:tc>
          <w:tcPr>
            <w:tcW w:w="2410" w:type="dxa"/>
          </w:tcPr>
          <w:p w14:paraId="40FA4B4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58</w:t>
            </w:r>
          </w:p>
        </w:tc>
        <w:tc>
          <w:tcPr>
            <w:tcW w:w="2410" w:type="dxa"/>
          </w:tcPr>
          <w:p w14:paraId="5D27F8C1">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0</w:t>
            </w:r>
          </w:p>
        </w:tc>
        <w:tc>
          <w:tcPr>
            <w:tcW w:w="1984" w:type="dxa"/>
          </w:tcPr>
          <w:p w14:paraId="617EE2E5">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37.256</w:t>
            </w:r>
          </w:p>
        </w:tc>
      </w:tr>
      <w:tr w14:paraId="67E14358">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5781423C">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17</w:t>
            </w:r>
          </w:p>
        </w:tc>
        <w:tc>
          <w:tcPr>
            <w:tcW w:w="2171" w:type="dxa"/>
            <w:tcBorders>
              <w:top w:val="single" w:color="7F7F7F" w:sz="4" w:space="0"/>
              <w:bottom w:val="single" w:color="7F7F7F" w:sz="4" w:space="0"/>
              <w:insideH w:val="single" w:sz="4" w:space="0"/>
            </w:tcBorders>
          </w:tcPr>
          <w:p w14:paraId="14D6DEC0">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Help</w:t>
            </w:r>
          </w:p>
        </w:tc>
        <w:tc>
          <w:tcPr>
            <w:tcW w:w="2410" w:type="dxa"/>
            <w:tcBorders>
              <w:top w:val="single" w:color="7F7F7F" w:sz="4" w:space="0"/>
              <w:bottom w:val="single" w:color="7F7F7F" w:sz="4" w:space="0"/>
              <w:insideH w:val="single" w:sz="4" w:space="0"/>
            </w:tcBorders>
          </w:tcPr>
          <w:p w14:paraId="122C3542">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140</w:t>
            </w:r>
          </w:p>
        </w:tc>
        <w:tc>
          <w:tcPr>
            <w:tcW w:w="2410" w:type="dxa"/>
            <w:tcBorders>
              <w:top w:val="single" w:color="7F7F7F" w:sz="4" w:space="0"/>
              <w:bottom w:val="single" w:color="7F7F7F" w:sz="4" w:space="0"/>
              <w:insideH w:val="single" w:sz="4" w:space="0"/>
            </w:tcBorders>
          </w:tcPr>
          <w:p w14:paraId="4503DFB8">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12</w:t>
            </w:r>
          </w:p>
        </w:tc>
        <w:tc>
          <w:tcPr>
            <w:tcW w:w="1984" w:type="dxa"/>
            <w:tcBorders>
              <w:top w:val="single" w:color="7F7F7F" w:sz="4" w:space="0"/>
              <w:bottom w:val="single" w:color="7F7F7F" w:sz="4" w:space="0"/>
              <w:insideH w:val="single" w:sz="4" w:space="0"/>
            </w:tcBorders>
          </w:tcPr>
          <w:p w14:paraId="40AA7F45">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36.992</w:t>
            </w:r>
          </w:p>
        </w:tc>
      </w:tr>
      <w:tr w14:paraId="1B9ED7C5">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47E17989">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18</w:t>
            </w:r>
          </w:p>
        </w:tc>
        <w:tc>
          <w:tcPr>
            <w:tcW w:w="2171" w:type="dxa"/>
          </w:tcPr>
          <w:p w14:paraId="30004C32">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Wo</w:t>
            </w:r>
            <w:r>
              <w:rPr>
                <w:rFonts w:ascii="Times New Roman" w:hAnsi="Times New Roman" w:eastAsia="Calibri" w:cs="Times New Roman"/>
                <w:color w:val="000000"/>
                <w:sz w:val="22"/>
                <w:szCs w:val="22"/>
              </w:rPr>
              <w:t>rd</w:t>
            </w:r>
          </w:p>
        </w:tc>
        <w:tc>
          <w:tcPr>
            <w:tcW w:w="2410" w:type="dxa"/>
          </w:tcPr>
          <w:p w14:paraId="1677E25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176</w:t>
            </w:r>
          </w:p>
        </w:tc>
        <w:tc>
          <w:tcPr>
            <w:tcW w:w="2410" w:type="dxa"/>
          </w:tcPr>
          <w:p w14:paraId="10323A8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20</w:t>
            </w:r>
          </w:p>
        </w:tc>
        <w:tc>
          <w:tcPr>
            <w:tcW w:w="1984" w:type="dxa"/>
          </w:tcPr>
          <w:p w14:paraId="71FD407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35.579</w:t>
            </w:r>
          </w:p>
        </w:tc>
      </w:tr>
      <w:tr w14:paraId="06BB90F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7F7F7F" w:sz="4" w:space="0"/>
              <w:bottom w:val="single" w:color="7F7F7F" w:sz="4" w:space="0"/>
              <w:insideH w:val="single" w:sz="4" w:space="0"/>
            </w:tcBorders>
          </w:tcPr>
          <w:p w14:paraId="37C85F6F">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19</w:t>
            </w:r>
          </w:p>
        </w:tc>
        <w:tc>
          <w:tcPr>
            <w:tcW w:w="2171" w:type="dxa"/>
            <w:tcBorders>
              <w:top w:val="single" w:color="7F7F7F" w:sz="4" w:space="0"/>
              <w:bottom w:val="single" w:color="7F7F7F" w:sz="4" w:space="0"/>
              <w:insideH w:val="single" w:sz="4" w:space="0"/>
            </w:tcBorders>
          </w:tcPr>
          <w:p w14:paraId="1D01E803">
            <w:pPr>
              <w:spacing w:after="0" w:line="276" w:lineRule="auto"/>
              <w:jc w:val="center"/>
              <w:rPr>
                <w:rFonts w:ascii="Times New Roman" w:hAnsi="Times New Roman" w:cs="Times New Roman"/>
                <w:sz w:val="22"/>
                <w:szCs w:val="22"/>
              </w:rPr>
            </w:pPr>
            <w:r>
              <w:rPr>
                <w:rFonts w:ascii="Times New Roman" w:hAnsi="Times New Roman" w:cs="Times New Roman"/>
                <w:sz w:val="22"/>
                <w:szCs w:val="22"/>
              </w:rPr>
              <w:t>Powe</w:t>
            </w:r>
            <w:r>
              <w:rPr>
                <w:rFonts w:ascii="Times New Roman" w:hAnsi="Times New Roman" w:eastAsia="Calibri" w:cs="Times New Roman"/>
                <w:color w:val="000000"/>
                <w:sz w:val="22"/>
                <w:szCs w:val="22"/>
              </w:rPr>
              <w:t>r</w:t>
            </w:r>
          </w:p>
        </w:tc>
        <w:tc>
          <w:tcPr>
            <w:tcW w:w="2410" w:type="dxa"/>
            <w:tcBorders>
              <w:top w:val="single" w:color="7F7F7F" w:sz="4" w:space="0"/>
              <w:bottom w:val="single" w:color="7F7F7F" w:sz="4" w:space="0"/>
              <w:insideH w:val="single" w:sz="4" w:space="0"/>
            </w:tcBorders>
          </w:tcPr>
          <w:p w14:paraId="6D2E87E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194</w:t>
            </w:r>
          </w:p>
        </w:tc>
        <w:tc>
          <w:tcPr>
            <w:tcW w:w="2410" w:type="dxa"/>
            <w:tcBorders>
              <w:top w:val="single" w:color="7F7F7F" w:sz="4" w:space="0"/>
              <w:bottom w:val="single" w:color="7F7F7F" w:sz="4" w:space="0"/>
              <w:insideH w:val="single" w:sz="4" w:space="0"/>
            </w:tcBorders>
          </w:tcPr>
          <w:p w14:paraId="2D2016A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26</w:t>
            </w:r>
          </w:p>
        </w:tc>
        <w:tc>
          <w:tcPr>
            <w:tcW w:w="1984" w:type="dxa"/>
            <w:tcBorders>
              <w:top w:val="single" w:color="7F7F7F" w:sz="4" w:space="0"/>
              <w:bottom w:val="single" w:color="7F7F7F" w:sz="4" w:space="0"/>
              <w:insideH w:val="single" w:sz="4" w:space="0"/>
            </w:tcBorders>
          </w:tcPr>
          <w:p w14:paraId="431138C4">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31.982</w:t>
            </w:r>
          </w:p>
        </w:tc>
      </w:tr>
      <w:tr w14:paraId="5D9F622A">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4" w:type="dxa"/>
          </w:tcPr>
          <w:p w14:paraId="64B544CC">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20</w:t>
            </w:r>
          </w:p>
        </w:tc>
        <w:tc>
          <w:tcPr>
            <w:tcW w:w="2171" w:type="dxa"/>
          </w:tcPr>
          <w:p w14:paraId="191D239F">
            <w:pPr>
              <w:spacing w:after="0" w:line="276" w:lineRule="auto"/>
              <w:jc w:val="center"/>
              <w:rPr>
                <w:rFonts w:ascii="Times New Roman" w:hAnsi="Times New Roman" w:cs="Times New Roman"/>
                <w:sz w:val="22"/>
                <w:szCs w:val="22"/>
              </w:rPr>
            </w:pPr>
            <w:r>
              <w:rPr>
                <w:rFonts w:ascii="Times New Roman" w:hAnsi="Times New Roman" w:eastAsia="Calibri" w:cs="Times New Roman"/>
                <w:color w:val="000000"/>
                <w:sz w:val="22"/>
                <w:szCs w:val="22"/>
              </w:rPr>
              <w:t>Receive</w:t>
            </w:r>
          </w:p>
        </w:tc>
        <w:tc>
          <w:tcPr>
            <w:tcW w:w="2410" w:type="dxa"/>
          </w:tcPr>
          <w:p w14:paraId="0DEC589E">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57</w:t>
            </w:r>
          </w:p>
        </w:tc>
        <w:tc>
          <w:tcPr>
            <w:tcW w:w="2410" w:type="dxa"/>
          </w:tcPr>
          <w:p w14:paraId="3F104E4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1</w:t>
            </w:r>
          </w:p>
        </w:tc>
        <w:tc>
          <w:tcPr>
            <w:tcW w:w="1984" w:type="dxa"/>
          </w:tcPr>
          <w:p w14:paraId="6F990D47">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29.094</w:t>
            </w:r>
          </w:p>
        </w:tc>
      </w:tr>
      <w:bookmarkEnd w:id="0"/>
    </w:tbl>
    <w:p w14:paraId="4685CB63">
      <w:pPr>
        <w:spacing w:line="48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Source: Author’s analysis, 2026</w:t>
      </w:r>
    </w:p>
    <w:p w14:paraId="4C5254B6">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Keyword analysis of the Nigerian sermon corpus (Table 3) shows a strong concentration around divine figures, scriptural reference, and spiritual experience. “Jesus” emerges as the most prominent keyword (370 occurrences; LL = 176.118), followed by “Lord” (356; LL = 149.998), “God” (918; LL = 104.684), and “Christ” (187; LL = 44.721). Keywords associated with religious practice and experience, including “Spirit” (196; LL = 87.453), “Faith” (296; LL = 67.470), “Pray” (85; LL = 40.728), and “Grace” (90; LL = 39.063), also show strong statistical salience. These patterns indicate that sermons consistently foreground divine presence and spiritual response as primary concerns of religious communication. Although, viewed through the ideational metafunction of SFL, the repeated co-presence of divine references and spiritually-charged vocabulary presents </w:t>
      </w:r>
      <w:r>
        <w:rPr>
          <w:rFonts w:ascii="Times New Roman" w:hAnsi="Times New Roman" w:cs="Times New Roman"/>
          <w:i/>
          <w:iCs/>
          <w:sz w:val="22"/>
          <w:szCs w:val="22"/>
        </w:rPr>
        <w:t>faith</w:t>
      </w:r>
      <w:r>
        <w:rPr>
          <w:rFonts w:ascii="Times New Roman" w:hAnsi="Times New Roman" w:cs="Times New Roman"/>
          <w:sz w:val="22"/>
          <w:szCs w:val="22"/>
        </w:rPr>
        <w:t xml:space="preserve"> as an organising principle through which personal realities are interpreted. This shows that lexical salience contributes to ideological representation by repeatedly positioning divine authority, spiritual dependence, and transformation as meaningful frameworks within sermon discourse.</w:t>
      </w:r>
    </w:p>
    <w:p w14:paraId="215B72DD">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Comparison with Esimaje (2012) shows both continuity and change. Although both studies foreground </w:t>
      </w:r>
      <w:r>
        <w:rPr>
          <w:rFonts w:ascii="Times New Roman" w:hAnsi="Times New Roman" w:cs="Times New Roman"/>
          <w:i/>
          <w:iCs/>
          <w:sz w:val="22"/>
          <w:szCs w:val="22"/>
        </w:rPr>
        <w:t>God</w:t>
      </w:r>
      <w:r>
        <w:rPr>
          <w:rFonts w:ascii="Times New Roman" w:hAnsi="Times New Roman" w:cs="Times New Roman"/>
          <w:sz w:val="22"/>
          <w:szCs w:val="22"/>
        </w:rPr>
        <w:t xml:space="preserve">, </w:t>
      </w:r>
      <w:r>
        <w:rPr>
          <w:rFonts w:ascii="Times New Roman" w:hAnsi="Times New Roman" w:cs="Times New Roman"/>
          <w:i/>
          <w:iCs/>
          <w:sz w:val="22"/>
          <w:szCs w:val="22"/>
        </w:rPr>
        <w:t>Jesus</w:t>
      </w:r>
      <w:r>
        <w:rPr>
          <w:rFonts w:ascii="Times New Roman" w:hAnsi="Times New Roman" w:cs="Times New Roman"/>
          <w:sz w:val="22"/>
          <w:szCs w:val="22"/>
        </w:rPr>
        <w:t>, and related theological vocabulary, the present corpus displays stronger prominence for scriptural markers such as “Verse” and “Chapter,” alongside experiential items such as “Help” and “Receive.” This pattern suggests a movement toward sermons that combine scriptural grounding with practical spiritual application. Therefore, recent sermon discourse appears to build a religious experience in which scripture becomes a resource for interpreting daily life and sustaining faith activities.</w:t>
      </w:r>
    </w:p>
    <w:p w14:paraId="15D85E8C">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Semantic Categories in the Sermons</w:t>
      </w:r>
    </w:p>
    <w:p w14:paraId="7AB2C2E2">
      <w:pPr>
        <w:spacing w:after="120" w:line="240" w:lineRule="auto"/>
        <w:jc w:val="both"/>
        <w:rPr>
          <w:rFonts w:ascii="Times New Roman" w:hAnsi="Times New Roman" w:cs="Times New Roman"/>
          <w:b/>
          <w:bCs/>
          <w:sz w:val="22"/>
          <w:szCs w:val="22"/>
        </w:rPr>
      </w:pPr>
      <w:r>
        <w:rPr>
          <w:rFonts w:ascii="Times New Roman" w:hAnsi="Times New Roman" w:cs="Times New Roman"/>
          <w:b/>
          <w:bCs/>
          <w:sz w:val="22"/>
          <w:szCs w:val="22"/>
        </w:rPr>
        <w:t>Table 4: Semantic Categories of Selected Keywords in the Nigerian Sermon Corpus</w:t>
      </w:r>
    </w:p>
    <w:tbl>
      <w:tblPr>
        <w:tblStyle w:val="46"/>
        <w:tblW w:w="9607" w:type="dxa"/>
        <w:tblInd w:w="-540" w:type="dxa"/>
        <w:tblBorders>
          <w:top w:val="single" w:color="auto" w:sz="4"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945"/>
        <w:gridCol w:w="2977"/>
        <w:gridCol w:w="3685"/>
      </w:tblGrid>
      <w:tr w14:paraId="7A4317D1">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Pr>
          <w:p w14:paraId="36EB51F0">
            <w:pPr>
              <w:spacing w:after="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Semantic Catego</w:t>
            </w:r>
            <w:r>
              <w:rPr>
                <w:rFonts w:ascii="Times New Roman" w:hAnsi="Times New Roman" w:eastAsia="DengXian" w:cs="Times New Roman"/>
                <w:b/>
                <w:bCs/>
                <w:kern w:val="0"/>
                <w:sz w:val="20"/>
                <w:szCs w:val="20"/>
                <w:lang w:eastAsia="en-GB"/>
                <w14:ligatures w14:val="none"/>
              </w:rPr>
              <w:t>ry</w:t>
            </w:r>
          </w:p>
        </w:tc>
        <w:tc>
          <w:tcPr>
            <w:tcW w:w="2977" w:type="dxa"/>
          </w:tcPr>
          <w:p w14:paraId="7CB32526">
            <w:pPr>
              <w:spacing w:after="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Desc</w:t>
            </w:r>
            <w:r>
              <w:rPr>
                <w:rFonts w:ascii="Times New Roman" w:hAnsi="Times New Roman" w:eastAsia="DengXian" w:cs="Times New Roman"/>
                <w:b/>
                <w:bCs/>
                <w:kern w:val="0"/>
                <w:sz w:val="20"/>
                <w:szCs w:val="20"/>
                <w:lang w:eastAsia="en-GB"/>
                <w14:ligatures w14:val="none"/>
              </w:rPr>
              <w:t>ription</w:t>
            </w:r>
          </w:p>
        </w:tc>
        <w:tc>
          <w:tcPr>
            <w:tcW w:w="3685" w:type="dxa"/>
          </w:tcPr>
          <w:p w14:paraId="7FA50F26">
            <w:pPr>
              <w:spacing w:after="0" w:line="240" w:lineRule="auto"/>
              <w:ind w:right="43"/>
              <w:jc w:val="center"/>
              <w:rPr>
                <w:rFonts w:ascii="Times New Roman" w:hAnsi="Times New Roman" w:eastAsia="Calibri" w:cs="Times New Roman"/>
                <w:b/>
                <w:color w:val="000000"/>
                <w:kern w:val="0"/>
                <w:sz w:val="20"/>
                <w:szCs w:val="20"/>
                <w:lang w:eastAsia="en-GB"/>
                <w14:ligatures w14:val="none"/>
              </w:rPr>
            </w:pPr>
            <w:r>
              <w:rPr>
                <w:rFonts w:ascii="Times New Roman" w:hAnsi="Times New Roman" w:eastAsia="Calibri" w:cs="Times New Roman"/>
                <w:b/>
                <w:color w:val="000000"/>
                <w:kern w:val="0"/>
                <w:sz w:val="20"/>
                <w:szCs w:val="20"/>
                <w:lang w:eastAsia="en-GB"/>
                <w14:ligatures w14:val="none"/>
              </w:rPr>
              <w:t>Examples of the Wo</w:t>
            </w:r>
            <w:r>
              <w:rPr>
                <w:rFonts w:ascii="Times New Roman" w:hAnsi="Times New Roman" w:eastAsia="DengXian" w:cs="Times New Roman"/>
                <w:b/>
                <w:bCs/>
                <w:kern w:val="0"/>
                <w:sz w:val="20"/>
                <w:szCs w:val="20"/>
                <w:lang w:eastAsia="en-GB"/>
                <w14:ligatures w14:val="none"/>
              </w:rPr>
              <w:t>rds from the Corpus</w:t>
            </w:r>
          </w:p>
        </w:tc>
      </w:tr>
      <w:tr w14:paraId="294ADC5A">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Pr>
          <w:p w14:paraId="7AF5A63B">
            <w:pPr>
              <w:spacing w:after="0" w:line="240" w:lineRule="auto"/>
              <w:ind w:right="43"/>
              <w:rPr>
                <w:rFonts w:ascii="Times New Roman" w:hAnsi="Times New Roman" w:eastAsia="DengXian" w:cs="Times New Roman"/>
                <w:kern w:val="0"/>
                <w:sz w:val="20"/>
                <w:szCs w:val="20"/>
                <w:lang w:eastAsia="en-GB"/>
                <w14:ligatures w14:val="none"/>
              </w:rPr>
            </w:pPr>
            <w:r>
              <w:rPr>
                <w:rFonts w:ascii="Times New Roman" w:hAnsi="Times New Roman" w:eastAsia="DengXian" w:cs="Times New Roman"/>
                <w:kern w:val="0"/>
                <w:sz w:val="20"/>
                <w:szCs w:val="20"/>
                <w:lang w:eastAsia="en-GB"/>
                <w14:ligatures w14:val="none"/>
              </w:rPr>
              <w:t>Divine and Sacred Entities</w:t>
            </w:r>
          </w:p>
        </w:tc>
        <w:tc>
          <w:tcPr>
            <w:tcW w:w="2977" w:type="dxa"/>
          </w:tcPr>
          <w:p w14:paraId="3CF728A2">
            <w:pPr>
              <w:spacing w:after="0" w:line="240" w:lineRule="auto"/>
              <w:ind w:right="43"/>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Wo</w:t>
            </w:r>
            <w:r>
              <w:rPr>
                <w:rFonts w:ascii="Times New Roman" w:hAnsi="Times New Roman" w:eastAsia="DengXian" w:cs="Times New Roman"/>
                <w:kern w:val="0"/>
                <w:sz w:val="20"/>
                <w:szCs w:val="20"/>
                <w:lang w:eastAsia="en-GB"/>
                <w14:ligatures w14:val="none"/>
              </w:rPr>
              <w:t>rds about God, Jesus Christ, and so on.</w:t>
            </w:r>
          </w:p>
        </w:tc>
        <w:tc>
          <w:tcPr>
            <w:tcW w:w="3685" w:type="dxa"/>
          </w:tcPr>
          <w:p w14:paraId="70DEAAC9">
            <w:pPr>
              <w:spacing w:after="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God, Jesus, Lo</w:t>
            </w:r>
            <w:r>
              <w:rPr>
                <w:rFonts w:ascii="Times New Roman" w:hAnsi="Times New Roman" w:eastAsia="DengXian" w:cs="Times New Roman"/>
                <w:i/>
                <w:iCs/>
                <w:kern w:val="0"/>
                <w:sz w:val="20"/>
                <w:szCs w:val="20"/>
                <w:lang w:eastAsia="en-GB"/>
                <w14:ligatures w14:val="none"/>
              </w:rPr>
              <w:t>rd, Holy, Father, Spirit, King</w:t>
            </w:r>
          </w:p>
        </w:tc>
      </w:tr>
      <w:tr w14:paraId="6A760EA7">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Pr>
          <w:p w14:paraId="37F441F0">
            <w:pPr>
              <w:spacing w:after="0" w:line="240" w:lineRule="auto"/>
              <w:ind w:right="43"/>
              <w:rPr>
                <w:rFonts w:ascii="Times New Roman" w:hAnsi="Times New Roman" w:eastAsia="DengXian" w:cs="Times New Roman"/>
                <w:kern w:val="0"/>
                <w:sz w:val="20"/>
                <w:szCs w:val="20"/>
                <w:lang w:eastAsia="en-GB"/>
                <w14:ligatures w14:val="none"/>
              </w:rPr>
            </w:pPr>
            <w:r>
              <w:rPr>
                <w:rFonts w:ascii="Times New Roman" w:hAnsi="Times New Roman" w:eastAsia="DengXian" w:cs="Times New Roman"/>
                <w:kern w:val="0"/>
                <w:sz w:val="20"/>
                <w:szCs w:val="20"/>
                <w:lang w:eastAsia="en-GB"/>
                <w14:ligatures w14:val="none"/>
              </w:rPr>
              <w:t>Faith, belief, and Spiritual Life</w:t>
            </w:r>
          </w:p>
        </w:tc>
        <w:tc>
          <w:tcPr>
            <w:tcW w:w="2977" w:type="dxa"/>
          </w:tcPr>
          <w:p w14:paraId="3092547A">
            <w:pPr>
              <w:spacing w:after="0" w:line="240" w:lineRule="auto"/>
              <w:ind w:right="43"/>
              <w:rPr>
                <w:rFonts w:ascii="Times New Roman" w:hAnsi="Times New Roman" w:eastAsia="Calibri" w:cs="Times New Roman"/>
                <w:color w:val="000000"/>
                <w:kern w:val="0"/>
                <w:sz w:val="20"/>
                <w:szCs w:val="20"/>
                <w:lang w:eastAsia="en-GB"/>
                <w14:ligatures w14:val="none"/>
              </w:rPr>
            </w:pPr>
            <w:r>
              <w:rPr>
                <w:rFonts w:ascii="Times New Roman" w:hAnsi="Times New Roman" w:eastAsia="Calibri" w:cs="Times New Roman"/>
                <w:color w:val="000000"/>
                <w:kern w:val="0"/>
                <w:sz w:val="20"/>
                <w:szCs w:val="20"/>
                <w:lang w:eastAsia="en-GB"/>
                <w14:ligatures w14:val="none"/>
              </w:rPr>
              <w:t>Wo</w:t>
            </w:r>
            <w:r>
              <w:rPr>
                <w:rFonts w:ascii="Times New Roman" w:hAnsi="Times New Roman" w:eastAsia="DengXian" w:cs="Times New Roman"/>
                <w:kern w:val="0"/>
                <w:sz w:val="20"/>
                <w:szCs w:val="20"/>
                <w:lang w:eastAsia="en-GB"/>
                <w14:ligatures w14:val="none"/>
              </w:rPr>
              <w:t>rds about conviction, trust, faith, spiritual experience, etc.</w:t>
            </w:r>
          </w:p>
        </w:tc>
        <w:tc>
          <w:tcPr>
            <w:tcW w:w="3685" w:type="dxa"/>
          </w:tcPr>
          <w:p w14:paraId="78BFA050">
            <w:pPr>
              <w:spacing w:after="0" w:line="240" w:lineRule="auto"/>
              <w:ind w:right="43"/>
              <w:jc w:val="both"/>
              <w:rPr>
                <w:rFonts w:ascii="Times New Roman" w:hAnsi="Times New Roman" w:eastAsia="Calibri" w:cs="Times New Roman"/>
                <w:i/>
                <w:iCs/>
                <w:color w:val="000000"/>
                <w:kern w:val="0"/>
                <w:sz w:val="20"/>
                <w:szCs w:val="20"/>
                <w:lang w:eastAsia="en-GB"/>
                <w14:ligatures w14:val="none"/>
              </w:rPr>
            </w:pPr>
            <w:r>
              <w:rPr>
                <w:rFonts w:ascii="Times New Roman" w:hAnsi="Times New Roman" w:eastAsia="Calibri" w:cs="Times New Roman"/>
                <w:i/>
                <w:iCs/>
                <w:color w:val="000000"/>
                <w:kern w:val="0"/>
                <w:sz w:val="20"/>
                <w:szCs w:val="20"/>
                <w:lang w:eastAsia="en-GB"/>
                <w14:ligatures w14:val="none"/>
              </w:rPr>
              <w:t>Faith, Believe, G</w:t>
            </w:r>
            <w:r>
              <w:rPr>
                <w:rFonts w:ascii="Times New Roman" w:hAnsi="Times New Roman" w:eastAsia="DengXian" w:cs="Times New Roman"/>
                <w:i/>
                <w:iCs/>
                <w:kern w:val="0"/>
                <w:sz w:val="20"/>
                <w:szCs w:val="20"/>
                <w:lang w:eastAsia="en-GB"/>
                <w14:ligatures w14:val="none"/>
              </w:rPr>
              <w:t>race, Salvation, Hope, Truth, Spiritual, Life, Heart, Mind, Man, Human, Peace, Joy, Love, Broken, Feel</w:t>
            </w:r>
          </w:p>
        </w:tc>
      </w:tr>
      <w:tr w14:paraId="2E848243">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Pr>
          <w:p w14:paraId="4E1D0498">
            <w:pPr>
              <w:spacing w:after="0" w:line="240" w:lineRule="auto"/>
              <w:ind w:right="43"/>
              <w:rPr>
                <w:rFonts w:ascii="Times New Roman" w:hAnsi="Times New Roman" w:eastAsia="DengXian" w:cs="Times New Roman"/>
                <w:kern w:val="0"/>
                <w:sz w:val="20"/>
                <w:szCs w:val="20"/>
                <w:lang w:eastAsia="en-GB"/>
                <w14:ligatures w14:val="none"/>
              </w:rPr>
            </w:pPr>
            <w:r>
              <w:rPr>
                <w:rFonts w:ascii="Times New Roman" w:hAnsi="Times New Roman" w:eastAsia="DengXian" w:cs="Times New Roman"/>
                <w:kern w:val="0"/>
                <w:sz w:val="20"/>
                <w:szCs w:val="20"/>
                <w:lang w:eastAsia="en-GB"/>
                <w14:ligatures w14:val="none"/>
              </w:rPr>
              <w:t xml:space="preserve">Worship, Prayer, and Liturgical Expressions </w:t>
            </w:r>
          </w:p>
        </w:tc>
        <w:tc>
          <w:tcPr>
            <w:tcW w:w="2977" w:type="dxa"/>
          </w:tcPr>
          <w:p w14:paraId="4A461296">
            <w:pPr>
              <w:spacing w:after="0" w:line="240" w:lineRule="auto"/>
              <w:ind w:right="43"/>
              <w:rPr>
                <w:rFonts w:ascii="Times New Roman" w:hAnsi="Times New Roman" w:eastAsia="Calibri" w:cs="Times New Roman"/>
                <w:color w:val="000000"/>
                <w:kern w:val="0"/>
                <w:sz w:val="20"/>
                <w:szCs w:val="20"/>
                <w:lang w:eastAsia="en-GB"/>
                <w14:ligatures w14:val="none"/>
              </w:rPr>
            </w:pPr>
            <w:r>
              <w:rPr>
                <w:rFonts w:ascii="Times New Roman" w:hAnsi="Times New Roman" w:eastAsia="Calibri" w:cs="Times New Roman"/>
                <w:color w:val="000000"/>
                <w:kern w:val="0"/>
                <w:sz w:val="20"/>
                <w:szCs w:val="20"/>
                <w:lang w:eastAsia="en-GB"/>
                <w14:ligatures w14:val="none"/>
              </w:rPr>
              <w:t>Wo</w:t>
            </w:r>
            <w:r>
              <w:rPr>
                <w:rFonts w:ascii="Times New Roman" w:hAnsi="Times New Roman" w:eastAsia="DengXian" w:cs="Times New Roman"/>
                <w:kern w:val="0"/>
                <w:sz w:val="20"/>
                <w:szCs w:val="20"/>
                <w:lang w:eastAsia="en-GB"/>
                <w14:ligatures w14:val="none"/>
              </w:rPr>
              <w:t>rds about prayer, praise, liturgy, congregational response, and worship</w:t>
            </w:r>
          </w:p>
        </w:tc>
        <w:tc>
          <w:tcPr>
            <w:tcW w:w="3685" w:type="dxa"/>
          </w:tcPr>
          <w:p w14:paraId="7D43D663">
            <w:pPr>
              <w:spacing w:after="0" w:line="240" w:lineRule="auto"/>
              <w:ind w:right="43"/>
              <w:jc w:val="both"/>
              <w:rPr>
                <w:rFonts w:ascii="Times New Roman" w:hAnsi="Times New Roman" w:eastAsia="Calibri" w:cs="Times New Roman"/>
                <w:i/>
                <w:iCs/>
                <w:color w:val="000000"/>
                <w:kern w:val="0"/>
                <w:sz w:val="20"/>
                <w:szCs w:val="20"/>
                <w:lang w:eastAsia="en-GB"/>
                <w14:ligatures w14:val="none"/>
              </w:rPr>
            </w:pPr>
            <w:r>
              <w:rPr>
                <w:rFonts w:ascii="Times New Roman" w:hAnsi="Times New Roman" w:eastAsia="Calibri" w:cs="Times New Roman"/>
                <w:i/>
                <w:iCs/>
                <w:color w:val="000000"/>
                <w:kern w:val="0"/>
                <w:sz w:val="20"/>
                <w:szCs w:val="20"/>
                <w:lang w:eastAsia="en-GB"/>
                <w14:ligatures w14:val="none"/>
              </w:rPr>
              <w:t>P</w:t>
            </w:r>
            <w:r>
              <w:rPr>
                <w:rFonts w:ascii="Times New Roman" w:hAnsi="Times New Roman" w:eastAsia="DengXian" w:cs="Times New Roman"/>
                <w:i/>
                <w:iCs/>
                <w:kern w:val="0"/>
                <w:sz w:val="20"/>
                <w:szCs w:val="20"/>
                <w:lang w:eastAsia="en-GB"/>
                <w14:ligatures w14:val="none"/>
              </w:rPr>
              <w:t>ray, Prayer, Amen, Hallelujah, Praise, Glory, Thank, Speak, Read, Look, Remember, Somebody, Service, Word, Chapter, Bible, Verse, Scripture, Law</w:t>
            </w:r>
          </w:p>
        </w:tc>
      </w:tr>
      <w:tr w14:paraId="64E5819D">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Borders>
              <w:bottom w:val="single" w:color="auto" w:sz="4" w:space="0"/>
            </w:tcBorders>
          </w:tcPr>
          <w:p w14:paraId="2C860634">
            <w:pPr>
              <w:spacing w:after="0" w:line="240" w:lineRule="auto"/>
              <w:ind w:right="43"/>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Sp</w:t>
            </w:r>
            <w:r>
              <w:rPr>
                <w:rFonts w:ascii="Times New Roman" w:hAnsi="Times New Roman" w:eastAsia="DengXian" w:cs="Times New Roman"/>
                <w:bCs/>
                <w:color w:val="000000"/>
                <w:kern w:val="0"/>
                <w:sz w:val="20"/>
                <w:szCs w:val="20"/>
                <w:lang w:eastAsia="en-GB"/>
                <w14:ligatures w14:val="none"/>
              </w:rPr>
              <w:t>i</w:t>
            </w:r>
            <w:r>
              <w:rPr>
                <w:rFonts w:ascii="Times New Roman" w:hAnsi="Times New Roman" w:eastAsia="DengXian" w:cs="Times New Roman"/>
                <w:kern w:val="0"/>
                <w:sz w:val="20"/>
                <w:szCs w:val="20"/>
                <w:lang w:eastAsia="en-GB"/>
                <w14:ligatures w14:val="none"/>
              </w:rPr>
              <w:t>ritual Warfare and Divine Intervention</w:t>
            </w:r>
          </w:p>
        </w:tc>
        <w:tc>
          <w:tcPr>
            <w:tcW w:w="2977" w:type="dxa"/>
            <w:tcBorders>
              <w:bottom w:val="single" w:color="auto" w:sz="4" w:space="0"/>
            </w:tcBorders>
          </w:tcPr>
          <w:p w14:paraId="2CA8C5C5">
            <w:pPr>
              <w:spacing w:after="0" w:line="240" w:lineRule="auto"/>
              <w:ind w:right="43"/>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Wo</w:t>
            </w:r>
            <w:r>
              <w:rPr>
                <w:rFonts w:ascii="Times New Roman" w:hAnsi="Times New Roman" w:eastAsia="DengXian" w:cs="Times New Roman"/>
                <w:kern w:val="0"/>
                <w:sz w:val="20"/>
                <w:szCs w:val="20"/>
                <w:lang w:eastAsia="en-GB"/>
                <w14:ligatures w14:val="none"/>
              </w:rPr>
              <w:t>rds about conflict, deliverance, supernatural forces, blessings, prosperity, and miracles</w:t>
            </w:r>
          </w:p>
        </w:tc>
        <w:tc>
          <w:tcPr>
            <w:tcW w:w="3685" w:type="dxa"/>
            <w:tcBorders>
              <w:bottom w:val="single" w:color="auto" w:sz="4" w:space="0"/>
            </w:tcBorders>
          </w:tcPr>
          <w:p w14:paraId="61B7D7FA">
            <w:pPr>
              <w:spacing w:after="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Devil, Evil, Flesh, Fi</w:t>
            </w:r>
            <w:r>
              <w:rPr>
                <w:rFonts w:ascii="Times New Roman" w:hAnsi="Times New Roman" w:eastAsia="DengXian" w:cs="Times New Roman"/>
                <w:i/>
                <w:iCs/>
                <w:kern w:val="0"/>
                <w:sz w:val="20"/>
                <w:szCs w:val="20"/>
                <w:lang w:eastAsia="en-GB"/>
                <w14:ligatures w14:val="none"/>
              </w:rPr>
              <w:t>re, Blood, Storm, Power, Help, Favour, Harvest, Growth, Destiny, Receive, Rise, Bread, Mighty, Change, Break, Hope</w:t>
            </w:r>
          </w:p>
        </w:tc>
      </w:tr>
      <w:tr w14:paraId="05A8B1CA">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945" w:type="dxa"/>
            <w:tcBorders>
              <w:bottom w:val="single" w:color="auto" w:sz="4" w:space="0"/>
            </w:tcBorders>
          </w:tcPr>
          <w:p w14:paraId="53AA3E2C">
            <w:pPr>
              <w:spacing w:after="0" w:line="240" w:lineRule="auto"/>
              <w:ind w:right="43"/>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Chu</w:t>
            </w:r>
            <w:r>
              <w:rPr>
                <w:rFonts w:ascii="Times New Roman" w:hAnsi="Times New Roman" w:eastAsia="DengXian" w:cs="Times New Roman"/>
                <w:kern w:val="0"/>
                <w:sz w:val="20"/>
                <w:szCs w:val="20"/>
                <w:lang w:eastAsia="en-GB"/>
                <w14:ligatures w14:val="none"/>
              </w:rPr>
              <w:t>rch, Community, and Human Interaction</w:t>
            </w:r>
          </w:p>
        </w:tc>
        <w:tc>
          <w:tcPr>
            <w:tcW w:w="2977" w:type="dxa"/>
            <w:tcBorders>
              <w:bottom w:val="single" w:color="auto" w:sz="4" w:space="0"/>
            </w:tcBorders>
          </w:tcPr>
          <w:p w14:paraId="45200B88">
            <w:pPr>
              <w:spacing w:after="0" w:line="240" w:lineRule="auto"/>
              <w:ind w:right="43"/>
              <w:rPr>
                <w:rFonts w:ascii="Times New Roman" w:hAnsi="Times New Roman" w:eastAsia="Calibri" w:cs="Times New Roman"/>
                <w:bCs/>
                <w:color w:val="000000"/>
                <w:kern w:val="0"/>
                <w:sz w:val="20"/>
                <w:szCs w:val="20"/>
                <w:lang w:eastAsia="en-GB"/>
                <w14:ligatures w14:val="none"/>
              </w:rPr>
            </w:pPr>
            <w:r>
              <w:rPr>
                <w:rFonts w:ascii="Times New Roman" w:hAnsi="Times New Roman" w:eastAsia="Calibri" w:cs="Times New Roman"/>
                <w:bCs/>
                <w:color w:val="000000"/>
                <w:kern w:val="0"/>
                <w:sz w:val="20"/>
                <w:szCs w:val="20"/>
                <w:lang w:eastAsia="en-GB"/>
                <w14:ligatures w14:val="none"/>
              </w:rPr>
              <w:t>Wo</w:t>
            </w:r>
            <w:r>
              <w:rPr>
                <w:rFonts w:ascii="Times New Roman" w:hAnsi="Times New Roman" w:eastAsia="DengXian" w:cs="Times New Roman"/>
                <w:kern w:val="0"/>
                <w:sz w:val="20"/>
                <w:szCs w:val="20"/>
                <w:lang w:eastAsia="en-GB"/>
                <w14:ligatures w14:val="none"/>
              </w:rPr>
              <w:t>rds about church, ministry, congregation, disciples, children</w:t>
            </w:r>
          </w:p>
        </w:tc>
        <w:tc>
          <w:tcPr>
            <w:tcW w:w="3685" w:type="dxa"/>
            <w:tcBorders>
              <w:bottom w:val="single" w:color="auto" w:sz="4" w:space="0"/>
            </w:tcBorders>
          </w:tcPr>
          <w:p w14:paraId="7967294F">
            <w:pPr>
              <w:spacing w:after="0" w:line="240" w:lineRule="auto"/>
              <w:ind w:right="43"/>
              <w:jc w:val="both"/>
              <w:rPr>
                <w:rFonts w:ascii="Times New Roman" w:hAnsi="Times New Roman" w:eastAsia="Calibri" w:cs="Times New Roman"/>
                <w:bCs/>
                <w:i/>
                <w:iCs/>
                <w:color w:val="000000"/>
                <w:kern w:val="0"/>
                <w:sz w:val="20"/>
                <w:szCs w:val="20"/>
                <w:lang w:eastAsia="en-GB"/>
                <w14:ligatures w14:val="none"/>
              </w:rPr>
            </w:pPr>
            <w:r>
              <w:rPr>
                <w:rFonts w:ascii="Times New Roman" w:hAnsi="Times New Roman" w:eastAsia="Calibri" w:cs="Times New Roman"/>
                <w:bCs/>
                <w:i/>
                <w:iCs/>
                <w:color w:val="000000"/>
                <w:kern w:val="0"/>
                <w:sz w:val="20"/>
                <w:szCs w:val="20"/>
                <w:lang w:eastAsia="en-GB"/>
                <w14:ligatures w14:val="none"/>
              </w:rPr>
              <w:t>Chu</w:t>
            </w:r>
            <w:r>
              <w:rPr>
                <w:rFonts w:ascii="Times New Roman" w:hAnsi="Times New Roman" w:eastAsia="DengXian" w:cs="Times New Roman"/>
                <w:i/>
                <w:iCs/>
                <w:kern w:val="0"/>
                <w:sz w:val="20"/>
                <w:szCs w:val="20"/>
                <w:lang w:eastAsia="en-GB"/>
                <w14:ligatures w14:val="none"/>
              </w:rPr>
              <w:t>rch, Pastor, Ministry, Christians, Disciples, Son, Woman, Stand, Find, Story, Message, Moment, Israel</w:t>
            </w:r>
          </w:p>
        </w:tc>
      </w:tr>
    </w:tbl>
    <w:p w14:paraId="33B9500D">
      <w:pPr>
        <w:spacing w:line="48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Source: Author’s analysis, 2026</w:t>
      </w:r>
    </w:p>
    <w:p w14:paraId="10230FDA">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 semantic analysis presented in Table 4 shows that lexical choices in the Nigerian sermon corpus are organised around five major domains: divine authority, spiritual experience, worship practices, spiritual conflict, and communal identity. The prominence of the Divine and Sacred Entities category, represented by words such as </w:t>
      </w:r>
      <w:r>
        <w:rPr>
          <w:rFonts w:ascii="Times New Roman" w:hAnsi="Times New Roman" w:cs="Times New Roman"/>
          <w:i/>
          <w:iCs/>
          <w:sz w:val="22"/>
          <w:szCs w:val="22"/>
        </w:rPr>
        <w:t>God</w:t>
      </w:r>
      <w:r>
        <w:rPr>
          <w:rFonts w:ascii="Times New Roman" w:hAnsi="Times New Roman" w:cs="Times New Roman"/>
          <w:sz w:val="22"/>
          <w:szCs w:val="22"/>
        </w:rPr>
        <w:t xml:space="preserve">, </w:t>
      </w:r>
      <w:r>
        <w:rPr>
          <w:rFonts w:ascii="Times New Roman" w:hAnsi="Times New Roman" w:cs="Times New Roman"/>
          <w:i/>
          <w:iCs/>
          <w:sz w:val="22"/>
          <w:szCs w:val="22"/>
        </w:rPr>
        <w:t>Jesus</w:t>
      </w:r>
      <w:r>
        <w:rPr>
          <w:rFonts w:ascii="Times New Roman" w:hAnsi="Times New Roman" w:cs="Times New Roman"/>
          <w:sz w:val="22"/>
          <w:szCs w:val="22"/>
        </w:rPr>
        <w:t xml:space="preserve">, </w:t>
      </w:r>
      <w:r>
        <w:rPr>
          <w:rFonts w:ascii="Times New Roman" w:hAnsi="Times New Roman" w:cs="Times New Roman"/>
          <w:i/>
          <w:iCs/>
          <w:sz w:val="22"/>
          <w:szCs w:val="22"/>
        </w:rPr>
        <w:t>Lord</w:t>
      </w:r>
      <w:r>
        <w:rPr>
          <w:rFonts w:ascii="Times New Roman" w:hAnsi="Times New Roman" w:cs="Times New Roman"/>
          <w:sz w:val="22"/>
          <w:szCs w:val="22"/>
        </w:rPr>
        <w:t xml:space="preserve">, </w:t>
      </w:r>
      <w:r>
        <w:rPr>
          <w:rFonts w:ascii="Times New Roman" w:hAnsi="Times New Roman" w:cs="Times New Roman"/>
          <w:i/>
          <w:iCs/>
          <w:sz w:val="22"/>
          <w:szCs w:val="22"/>
        </w:rPr>
        <w:t>Holy</w:t>
      </w:r>
      <w:r>
        <w:rPr>
          <w:rFonts w:ascii="Times New Roman" w:hAnsi="Times New Roman" w:cs="Times New Roman"/>
          <w:sz w:val="22"/>
          <w:szCs w:val="22"/>
        </w:rPr>
        <w:t xml:space="preserve">, </w:t>
      </w:r>
      <w:r>
        <w:rPr>
          <w:rFonts w:ascii="Times New Roman" w:hAnsi="Times New Roman" w:cs="Times New Roman"/>
          <w:i/>
          <w:iCs/>
          <w:sz w:val="22"/>
          <w:szCs w:val="22"/>
        </w:rPr>
        <w:t>Father</w:t>
      </w:r>
      <w:r>
        <w:rPr>
          <w:rFonts w:ascii="Times New Roman" w:hAnsi="Times New Roman" w:cs="Times New Roman"/>
          <w:sz w:val="22"/>
          <w:szCs w:val="22"/>
        </w:rPr>
        <w:t xml:space="preserve">, and </w:t>
      </w:r>
      <w:r>
        <w:rPr>
          <w:rFonts w:ascii="Times New Roman" w:hAnsi="Times New Roman" w:cs="Times New Roman"/>
          <w:i/>
          <w:iCs/>
          <w:sz w:val="22"/>
          <w:szCs w:val="22"/>
        </w:rPr>
        <w:t>Spirit</w:t>
      </w:r>
      <w:r>
        <w:rPr>
          <w:rFonts w:ascii="Times New Roman" w:hAnsi="Times New Roman" w:cs="Times New Roman"/>
          <w:sz w:val="22"/>
          <w:szCs w:val="22"/>
        </w:rPr>
        <w:t>, reflects the central role of divine reference in constructing theological authority within sermon discourse. This finding corresponds with previous corpus-based sermon research, which identifies religious vocabulary as a dominant feature in establishing spiritual meaning and authority (Esimaje, 2012).</w:t>
      </w:r>
    </w:p>
    <w:p w14:paraId="75D63DA7">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 category of Faith, Belief, and Spiritual Life demonstrates the emphasis placed on personal transformation, moral development, and religious experience. Lexical items relating to </w:t>
      </w:r>
      <w:r>
        <w:rPr>
          <w:rFonts w:ascii="Times New Roman" w:hAnsi="Times New Roman" w:cs="Times New Roman"/>
          <w:i/>
          <w:iCs/>
          <w:sz w:val="22"/>
          <w:szCs w:val="22"/>
        </w:rPr>
        <w:t>faith</w:t>
      </w:r>
      <w:r>
        <w:rPr>
          <w:rFonts w:ascii="Times New Roman" w:hAnsi="Times New Roman" w:cs="Times New Roman"/>
          <w:sz w:val="22"/>
          <w:szCs w:val="22"/>
        </w:rPr>
        <w:t xml:space="preserve">, </w:t>
      </w:r>
      <w:r>
        <w:rPr>
          <w:rFonts w:ascii="Times New Roman" w:hAnsi="Times New Roman" w:cs="Times New Roman"/>
          <w:i/>
          <w:iCs/>
          <w:sz w:val="22"/>
          <w:szCs w:val="22"/>
        </w:rPr>
        <w:t>salvation</w:t>
      </w:r>
      <w:r>
        <w:rPr>
          <w:rFonts w:ascii="Times New Roman" w:hAnsi="Times New Roman" w:cs="Times New Roman"/>
          <w:sz w:val="22"/>
          <w:szCs w:val="22"/>
        </w:rPr>
        <w:t xml:space="preserve">, </w:t>
      </w:r>
      <w:r>
        <w:rPr>
          <w:rFonts w:ascii="Times New Roman" w:hAnsi="Times New Roman" w:cs="Times New Roman"/>
          <w:i/>
          <w:iCs/>
          <w:sz w:val="22"/>
          <w:szCs w:val="22"/>
        </w:rPr>
        <w:t>hope</w:t>
      </w:r>
      <w:r>
        <w:rPr>
          <w:rFonts w:ascii="Times New Roman" w:hAnsi="Times New Roman" w:cs="Times New Roman"/>
          <w:sz w:val="22"/>
          <w:szCs w:val="22"/>
        </w:rPr>
        <w:t xml:space="preserve">, </w:t>
      </w:r>
      <w:r>
        <w:rPr>
          <w:rFonts w:ascii="Times New Roman" w:hAnsi="Times New Roman" w:cs="Times New Roman"/>
          <w:i/>
          <w:iCs/>
          <w:sz w:val="22"/>
          <w:szCs w:val="22"/>
        </w:rPr>
        <w:t>love</w:t>
      </w:r>
      <w:r>
        <w:rPr>
          <w:rFonts w:ascii="Times New Roman" w:hAnsi="Times New Roman" w:cs="Times New Roman"/>
          <w:sz w:val="22"/>
          <w:szCs w:val="22"/>
        </w:rPr>
        <w:t>, and human emotions indicate that sermons do not only communicate theological ideas but also address individual spiritual conditions and lived experiences. Similarly, the Worship, Prayer, and Liturgical Expressions category highlights the interactive nature of sermon discourse, where words associated with prayer, praise, scripture, and congregational response function to encourage participation and reinforce shared religious practices.</w:t>
      </w:r>
    </w:p>
    <w:p w14:paraId="4EBCDFCB">
      <w:pPr>
        <w:spacing w:line="480" w:lineRule="auto"/>
        <w:jc w:val="both"/>
        <w:rPr>
          <w:rFonts w:ascii="Times New Roman" w:hAnsi="Times New Roman" w:cs="Times New Roman"/>
          <w:sz w:val="22"/>
          <w:szCs w:val="22"/>
        </w:rPr>
      </w:pPr>
      <w:r>
        <w:rPr>
          <w:rFonts w:ascii="Times New Roman" w:hAnsi="Times New Roman" w:cs="Times New Roman"/>
          <w:sz w:val="22"/>
          <w:szCs w:val="22"/>
        </w:rPr>
        <w:t>The Spiritual Warfare and Divine Intervention category reveals another important feature of Nigerian sermon discourse: the representation of struggles, supernatural forces, and divine solutions. The presence of terms associated with conflict, empowerment, healing, and transformation reflects common theological concerns surrounding protection, victory, and spiritual advancement. Finally, the Church, Community, and Human Interaction category demonstrates that sermons construct religious meaning through social relationships by addressing the roles of pastors, believers, and the wider faith community.</w:t>
      </w:r>
    </w:p>
    <w:p w14:paraId="7A0A1B33">
      <w:pPr>
        <w:spacing w:line="480" w:lineRule="auto"/>
        <w:jc w:val="both"/>
        <w:rPr>
          <w:rFonts w:ascii="Times New Roman" w:hAnsi="Times New Roman" w:cs="Times New Roman"/>
          <w:sz w:val="22"/>
          <w:szCs w:val="22"/>
        </w:rPr>
      </w:pPr>
      <w:r>
        <w:rPr>
          <w:rFonts w:ascii="Times New Roman" w:hAnsi="Times New Roman" w:cs="Times New Roman"/>
          <w:sz w:val="22"/>
          <w:szCs w:val="22"/>
        </w:rPr>
        <w:t>Overall, the semantic categories indicate that Nigerian Christian sermons combine references to divine authority, personal spirituality, collective worship, and human experience. These recurring lexical patterns show how sermon discourse functions not only as religious communication but also as a means of constructing and sustaining ideological representations of faith, identity, and spiritual reality.</w:t>
      </w:r>
    </w:p>
    <w:p w14:paraId="3C3E1479">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Frequent Clusters in Nigerian Sermons</w:t>
      </w:r>
    </w:p>
    <w:p w14:paraId="1D0ABCF4">
      <w:pPr>
        <w:spacing w:after="120" w:line="240" w:lineRule="auto"/>
        <w:jc w:val="both"/>
        <w:rPr>
          <w:rFonts w:ascii="Times New Roman" w:hAnsi="Times New Roman" w:cs="Times New Roman"/>
          <w:b/>
          <w:bCs/>
          <w:sz w:val="22"/>
          <w:szCs w:val="22"/>
        </w:rPr>
      </w:pPr>
      <w:r>
        <w:rPr>
          <w:rFonts w:ascii="Times New Roman" w:hAnsi="Times New Roman" w:cs="Times New Roman"/>
          <w:b/>
          <w:bCs/>
          <w:sz w:val="22"/>
          <w:szCs w:val="22"/>
        </w:rPr>
        <w:t>Table 5: Frequent Clusters in the Nigerian Sermon Corpus</w:t>
      </w:r>
    </w:p>
    <w:tbl>
      <w:tblPr>
        <w:tblStyle w:val="49"/>
        <w:tblW w:w="9214" w:type="dxa"/>
        <w:tblInd w:w="0"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0"/>
        <w:gridCol w:w="2928"/>
        <w:gridCol w:w="2409"/>
        <w:gridCol w:w="2977"/>
      </w:tblGrid>
      <w:tr w14:paraId="02D80EE9">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Borders>
              <w:bottom w:val="single" w:color="7F7F7F" w:sz="4" w:space="0"/>
              <w:insideH w:val="single" w:sz="4" w:space="0"/>
            </w:tcBorders>
          </w:tcPr>
          <w:p w14:paraId="3FFFAFBD">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cs="Times New Roman"/>
                <w:b/>
                <w:bCs/>
                <w:sz w:val="22"/>
                <w:szCs w:val="22"/>
              </w:rPr>
              <w:t>Rank</w:t>
            </w:r>
          </w:p>
        </w:tc>
        <w:tc>
          <w:tcPr>
            <w:tcW w:w="2928" w:type="dxa"/>
            <w:tcBorders>
              <w:bottom w:val="single" w:color="7F7F7F" w:sz="4" w:space="0"/>
              <w:insideH w:val="single" w:sz="4" w:space="0"/>
            </w:tcBorders>
          </w:tcPr>
          <w:p w14:paraId="4F05A9FF">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Cluste</w:t>
            </w:r>
            <w:r>
              <w:rPr>
                <w:rFonts w:ascii="Times New Roman" w:hAnsi="Times New Roman" w:cs="Times New Roman"/>
                <w:b/>
                <w:bCs/>
                <w:sz w:val="22"/>
                <w:szCs w:val="22"/>
              </w:rPr>
              <w:t>r (N-gram)</w:t>
            </w:r>
          </w:p>
        </w:tc>
        <w:tc>
          <w:tcPr>
            <w:tcW w:w="2409" w:type="dxa"/>
            <w:tcBorders>
              <w:bottom w:val="single" w:color="7F7F7F" w:sz="4" w:space="0"/>
              <w:insideH w:val="single" w:sz="4" w:space="0"/>
            </w:tcBorders>
          </w:tcPr>
          <w:p w14:paraId="2757684A">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Cluste</w:t>
            </w:r>
            <w:r>
              <w:rPr>
                <w:rFonts w:ascii="Times New Roman" w:hAnsi="Times New Roman" w:cs="Times New Roman"/>
                <w:b/>
                <w:bCs/>
                <w:sz w:val="22"/>
                <w:szCs w:val="22"/>
              </w:rPr>
              <w:t>r Size</w:t>
            </w:r>
          </w:p>
        </w:tc>
        <w:tc>
          <w:tcPr>
            <w:tcW w:w="2977" w:type="dxa"/>
            <w:tcBorders>
              <w:bottom w:val="single" w:color="7F7F7F" w:sz="4" w:space="0"/>
              <w:insideH w:val="single" w:sz="4" w:space="0"/>
            </w:tcBorders>
          </w:tcPr>
          <w:p w14:paraId="5F48B1C0">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F</w:t>
            </w:r>
            <w:r>
              <w:rPr>
                <w:rFonts w:ascii="Times New Roman" w:hAnsi="Times New Roman" w:cs="Times New Roman"/>
                <w:b/>
                <w:bCs/>
                <w:sz w:val="22"/>
                <w:szCs w:val="22"/>
              </w:rPr>
              <w:t>requency</w:t>
            </w:r>
          </w:p>
        </w:tc>
      </w:tr>
      <w:tr w14:paraId="7C079061">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7F7F7F" w:sz="4" w:space="0"/>
              <w:bottom w:val="single" w:color="7F7F7F" w:sz="4" w:space="0"/>
              <w:insideH w:val="single" w:sz="4" w:space="0"/>
            </w:tcBorders>
          </w:tcPr>
          <w:p w14:paraId="35C0B34C">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2928" w:type="dxa"/>
            <w:tcBorders>
              <w:top w:val="single" w:color="7F7F7F" w:sz="4" w:space="0"/>
              <w:bottom w:val="single" w:color="7F7F7F" w:sz="4" w:space="0"/>
              <w:insideH w:val="single" w:sz="4" w:space="0"/>
            </w:tcBorders>
          </w:tcPr>
          <w:p w14:paraId="3CAB3C5C">
            <w:pPr>
              <w:spacing w:after="0" w:line="276" w:lineRule="auto"/>
              <w:ind w:right="43"/>
              <w:jc w:val="both"/>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spirit of faith</w:t>
            </w:r>
          </w:p>
        </w:tc>
        <w:tc>
          <w:tcPr>
            <w:tcW w:w="2409" w:type="dxa"/>
            <w:tcBorders>
              <w:top w:val="single" w:color="7F7F7F" w:sz="4" w:space="0"/>
              <w:bottom w:val="single" w:color="7F7F7F" w:sz="4" w:space="0"/>
              <w:insideH w:val="single" w:sz="4" w:space="0"/>
            </w:tcBorders>
          </w:tcPr>
          <w:p w14:paraId="1037666C">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w:t>
            </w:r>
          </w:p>
        </w:tc>
        <w:tc>
          <w:tcPr>
            <w:tcW w:w="2977" w:type="dxa"/>
            <w:tcBorders>
              <w:top w:val="single" w:color="7F7F7F" w:sz="4" w:space="0"/>
              <w:bottom w:val="single" w:color="7F7F7F" w:sz="4" w:space="0"/>
              <w:insideH w:val="single" w:sz="4" w:space="0"/>
            </w:tcBorders>
          </w:tcPr>
          <w:p w14:paraId="3860FE4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46</w:t>
            </w:r>
          </w:p>
        </w:tc>
      </w:tr>
      <w:tr w14:paraId="13B6A620">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Pr>
          <w:p w14:paraId="493AC7FB">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2</w:t>
            </w:r>
          </w:p>
        </w:tc>
        <w:tc>
          <w:tcPr>
            <w:tcW w:w="2928" w:type="dxa"/>
          </w:tcPr>
          <w:p w14:paraId="6F16D401">
            <w:pPr>
              <w:spacing w:after="0" w:line="276" w:lineRule="auto"/>
              <w:ind w:right="43"/>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the bible says</w:t>
            </w:r>
          </w:p>
        </w:tc>
        <w:tc>
          <w:tcPr>
            <w:tcW w:w="2409" w:type="dxa"/>
          </w:tcPr>
          <w:p w14:paraId="59D012D0">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3</w:t>
            </w:r>
          </w:p>
        </w:tc>
        <w:tc>
          <w:tcPr>
            <w:tcW w:w="2977" w:type="dxa"/>
          </w:tcPr>
          <w:p w14:paraId="1E6E977F">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44</w:t>
            </w:r>
          </w:p>
        </w:tc>
      </w:tr>
      <w:tr w14:paraId="7A66C9FB">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7F7F7F" w:sz="4" w:space="0"/>
              <w:bottom w:val="single" w:color="7F7F7F" w:sz="4" w:space="0"/>
              <w:insideH w:val="single" w:sz="4" w:space="0"/>
            </w:tcBorders>
          </w:tcPr>
          <w:p w14:paraId="610FDBEF">
            <w:pPr>
              <w:spacing w:after="0" w:line="276" w:lineRule="auto"/>
              <w:ind w:right="43"/>
              <w:jc w:val="center"/>
              <w:rPr>
                <w:rFonts w:ascii="Times New Roman" w:hAnsi="Times New Roman" w:cs="Times New Roman"/>
                <w:b/>
                <w:bCs/>
                <w:sz w:val="22"/>
                <w:szCs w:val="22"/>
              </w:rPr>
            </w:pPr>
            <w:r>
              <w:rPr>
                <w:rFonts w:ascii="Times New Roman" w:hAnsi="Times New Roman" w:cs="Times New Roman"/>
                <w:b/>
                <w:bCs/>
                <w:sz w:val="22"/>
                <w:szCs w:val="22"/>
              </w:rPr>
              <w:t>3</w:t>
            </w:r>
          </w:p>
        </w:tc>
        <w:tc>
          <w:tcPr>
            <w:tcW w:w="2928" w:type="dxa"/>
            <w:tcBorders>
              <w:top w:val="single" w:color="7F7F7F" w:sz="4" w:space="0"/>
              <w:bottom w:val="single" w:color="7F7F7F" w:sz="4" w:space="0"/>
              <w:insideH w:val="single" w:sz="4" w:space="0"/>
            </w:tcBorders>
          </w:tcPr>
          <w:p w14:paraId="38755683">
            <w:pPr>
              <w:spacing w:after="0" w:line="276" w:lineRule="auto"/>
              <w:ind w:right="43"/>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the name of Jesus</w:t>
            </w:r>
          </w:p>
        </w:tc>
        <w:tc>
          <w:tcPr>
            <w:tcW w:w="2409" w:type="dxa"/>
            <w:tcBorders>
              <w:top w:val="single" w:color="7F7F7F" w:sz="4" w:space="0"/>
              <w:bottom w:val="single" w:color="7F7F7F" w:sz="4" w:space="0"/>
              <w:insideH w:val="single" w:sz="4" w:space="0"/>
            </w:tcBorders>
          </w:tcPr>
          <w:p w14:paraId="0884AEA5">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4</w:t>
            </w:r>
          </w:p>
        </w:tc>
        <w:tc>
          <w:tcPr>
            <w:tcW w:w="2977" w:type="dxa"/>
            <w:tcBorders>
              <w:top w:val="single" w:color="7F7F7F" w:sz="4" w:space="0"/>
              <w:bottom w:val="single" w:color="7F7F7F" w:sz="4" w:space="0"/>
              <w:insideH w:val="single" w:sz="4" w:space="0"/>
            </w:tcBorders>
          </w:tcPr>
          <w:p w14:paraId="652C9541">
            <w:pPr>
              <w:spacing w:after="0" w:line="276" w:lineRule="auto"/>
              <w:ind w:right="43"/>
              <w:jc w:val="center"/>
              <w:rPr>
                <w:rFonts w:ascii="Times New Roman" w:hAnsi="Times New Roman" w:eastAsia="Calibri" w:cs="Times New Roman"/>
                <w:color w:val="000000"/>
                <w:sz w:val="22"/>
                <w:szCs w:val="22"/>
              </w:rPr>
            </w:pPr>
            <w:r>
              <w:rPr>
                <w:rFonts w:ascii="Times New Roman" w:hAnsi="Times New Roman" w:eastAsia="Calibri" w:cs="Times New Roman"/>
                <w:color w:val="000000"/>
                <w:sz w:val="22"/>
                <w:szCs w:val="22"/>
              </w:rPr>
              <w:t>39</w:t>
            </w:r>
          </w:p>
        </w:tc>
      </w:tr>
      <w:tr w14:paraId="1E40D052">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Pr>
          <w:p w14:paraId="545FAD8D">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4</w:t>
            </w:r>
          </w:p>
        </w:tc>
        <w:tc>
          <w:tcPr>
            <w:tcW w:w="2928" w:type="dxa"/>
          </w:tcPr>
          <w:p w14:paraId="7591CE5D">
            <w:pPr>
              <w:spacing w:after="0" w:line="276" w:lineRule="auto"/>
              <w:ind w:right="43"/>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in the name of Jesus</w:t>
            </w:r>
          </w:p>
        </w:tc>
        <w:tc>
          <w:tcPr>
            <w:tcW w:w="2409" w:type="dxa"/>
          </w:tcPr>
          <w:p w14:paraId="75A6C54F">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5</w:t>
            </w:r>
          </w:p>
        </w:tc>
        <w:tc>
          <w:tcPr>
            <w:tcW w:w="2977" w:type="dxa"/>
          </w:tcPr>
          <w:p w14:paraId="19EC6DE6">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36</w:t>
            </w:r>
          </w:p>
        </w:tc>
      </w:tr>
      <w:tr w14:paraId="163A2D12">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7F7F7F" w:sz="4" w:space="0"/>
              <w:bottom w:val="single" w:color="7F7F7F" w:sz="4" w:space="0"/>
              <w:insideH w:val="single" w:sz="4" w:space="0"/>
            </w:tcBorders>
          </w:tcPr>
          <w:p w14:paraId="3784A35F">
            <w:pPr>
              <w:spacing w:after="0" w:line="276" w:lineRule="auto"/>
              <w:ind w:right="43"/>
              <w:jc w:val="center"/>
              <w:rPr>
                <w:rFonts w:ascii="Times New Roman" w:hAnsi="Times New Roman" w:eastAsia="Calibri" w:cs="Times New Roman"/>
                <w:b/>
                <w:bCs/>
                <w:color w:val="000000"/>
                <w:sz w:val="22"/>
                <w:szCs w:val="22"/>
              </w:rPr>
            </w:pPr>
            <w:r>
              <w:rPr>
                <w:rFonts w:ascii="Times New Roman" w:hAnsi="Times New Roman" w:eastAsia="Calibri" w:cs="Times New Roman"/>
                <w:b/>
                <w:bCs/>
                <w:color w:val="000000"/>
                <w:sz w:val="22"/>
                <w:szCs w:val="22"/>
              </w:rPr>
              <w:t>5</w:t>
            </w:r>
          </w:p>
        </w:tc>
        <w:tc>
          <w:tcPr>
            <w:tcW w:w="2928" w:type="dxa"/>
            <w:tcBorders>
              <w:top w:val="single" w:color="7F7F7F" w:sz="4" w:space="0"/>
              <w:bottom w:val="single" w:color="7F7F7F" w:sz="4" w:space="0"/>
              <w:insideH w:val="single" w:sz="4" w:space="0"/>
            </w:tcBorders>
          </w:tcPr>
          <w:p w14:paraId="767C3539">
            <w:pPr>
              <w:spacing w:after="0" w:line="276" w:lineRule="auto"/>
              <w:ind w:right="43"/>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the last days</w:t>
            </w:r>
          </w:p>
        </w:tc>
        <w:tc>
          <w:tcPr>
            <w:tcW w:w="2409" w:type="dxa"/>
            <w:tcBorders>
              <w:top w:val="single" w:color="7F7F7F" w:sz="4" w:space="0"/>
              <w:bottom w:val="single" w:color="7F7F7F" w:sz="4" w:space="0"/>
              <w:insideH w:val="single" w:sz="4" w:space="0"/>
            </w:tcBorders>
          </w:tcPr>
          <w:p w14:paraId="1612B103">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3</w:t>
            </w:r>
          </w:p>
        </w:tc>
        <w:tc>
          <w:tcPr>
            <w:tcW w:w="2977" w:type="dxa"/>
            <w:tcBorders>
              <w:top w:val="single" w:color="7F7F7F" w:sz="4" w:space="0"/>
              <w:bottom w:val="single" w:color="7F7F7F" w:sz="4" w:space="0"/>
              <w:insideH w:val="single" w:sz="4" w:space="0"/>
            </w:tcBorders>
          </w:tcPr>
          <w:p w14:paraId="661D89BE">
            <w:pPr>
              <w:spacing w:after="0" w:line="276" w:lineRule="auto"/>
              <w:ind w:right="43"/>
              <w:jc w:val="center"/>
              <w:rPr>
                <w:rFonts w:ascii="Times New Roman" w:hAnsi="Times New Roman" w:eastAsia="Calibri" w:cs="Times New Roman"/>
                <w:bCs/>
                <w:color w:val="000000"/>
                <w:sz w:val="22"/>
                <w:szCs w:val="22"/>
              </w:rPr>
            </w:pPr>
            <w:r>
              <w:rPr>
                <w:rFonts w:ascii="Times New Roman" w:hAnsi="Times New Roman" w:eastAsia="Calibri" w:cs="Times New Roman"/>
                <w:bCs/>
                <w:color w:val="000000"/>
                <w:sz w:val="22"/>
                <w:szCs w:val="22"/>
              </w:rPr>
              <w:t>24</w:t>
            </w:r>
          </w:p>
        </w:tc>
      </w:tr>
    </w:tbl>
    <w:p w14:paraId="50DFC65B">
      <w:pPr>
        <w:spacing w:line="48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Source: Author’s analysis, 2026</w:t>
      </w:r>
    </w:p>
    <w:p w14:paraId="4588D172">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 analysis of frequent clusters in the Nigerian sermon corpus (Table 5) reveals a strong emphasis on faith, divine authority, and scriptural references. The most recurring clusters include </w:t>
      </w:r>
      <w:r>
        <w:rPr>
          <w:rFonts w:ascii="Times New Roman" w:hAnsi="Times New Roman" w:cs="Times New Roman"/>
          <w:i/>
          <w:iCs/>
          <w:sz w:val="22"/>
          <w:szCs w:val="22"/>
        </w:rPr>
        <w:t>spirit of faith</w:t>
      </w:r>
      <w:r>
        <w:rPr>
          <w:rFonts w:ascii="Times New Roman" w:hAnsi="Times New Roman" w:cs="Times New Roman"/>
          <w:sz w:val="22"/>
          <w:szCs w:val="22"/>
        </w:rPr>
        <w:t xml:space="preserve"> (46 occurrences), </w:t>
      </w:r>
      <w:r>
        <w:rPr>
          <w:rFonts w:ascii="Times New Roman" w:hAnsi="Times New Roman" w:cs="Times New Roman"/>
          <w:i/>
          <w:iCs/>
          <w:sz w:val="22"/>
          <w:szCs w:val="22"/>
        </w:rPr>
        <w:t>the Bible says</w:t>
      </w:r>
      <w:r>
        <w:rPr>
          <w:rFonts w:ascii="Times New Roman" w:hAnsi="Times New Roman" w:cs="Times New Roman"/>
          <w:sz w:val="22"/>
          <w:szCs w:val="22"/>
        </w:rPr>
        <w:t xml:space="preserve"> (44), </w:t>
      </w:r>
      <w:r>
        <w:rPr>
          <w:rFonts w:ascii="Times New Roman" w:hAnsi="Times New Roman" w:cs="Times New Roman"/>
          <w:i/>
          <w:iCs/>
          <w:sz w:val="22"/>
          <w:szCs w:val="22"/>
        </w:rPr>
        <w:t>the name of Jesus</w:t>
      </w:r>
      <w:r>
        <w:rPr>
          <w:rFonts w:ascii="Times New Roman" w:hAnsi="Times New Roman" w:cs="Times New Roman"/>
          <w:sz w:val="22"/>
          <w:szCs w:val="22"/>
        </w:rPr>
        <w:t xml:space="preserve"> (39), and </w:t>
      </w:r>
      <w:r>
        <w:rPr>
          <w:rFonts w:ascii="Times New Roman" w:hAnsi="Times New Roman" w:cs="Times New Roman"/>
          <w:i/>
          <w:iCs/>
          <w:sz w:val="22"/>
          <w:szCs w:val="22"/>
        </w:rPr>
        <w:t xml:space="preserve">in the name of Jesus </w:t>
      </w:r>
      <w:r>
        <w:rPr>
          <w:rFonts w:ascii="Times New Roman" w:hAnsi="Times New Roman" w:cs="Times New Roman"/>
          <w:sz w:val="22"/>
          <w:szCs w:val="22"/>
        </w:rPr>
        <w:t xml:space="preserve">(36), highlighting the centrality of invoking God and scripture in sermonic discourse. Other notable phrases such as </w:t>
      </w:r>
      <w:r>
        <w:rPr>
          <w:rFonts w:ascii="Times New Roman" w:hAnsi="Times New Roman" w:cs="Times New Roman"/>
          <w:i/>
          <w:iCs/>
          <w:sz w:val="22"/>
          <w:szCs w:val="22"/>
        </w:rPr>
        <w:t>all yokes are broken</w:t>
      </w:r>
      <w:r>
        <w:rPr>
          <w:rFonts w:ascii="Times New Roman" w:hAnsi="Times New Roman" w:cs="Times New Roman"/>
          <w:sz w:val="22"/>
          <w:szCs w:val="22"/>
        </w:rPr>
        <w:t xml:space="preserve">, </w:t>
      </w:r>
      <w:r>
        <w:rPr>
          <w:rFonts w:ascii="Times New Roman" w:hAnsi="Times New Roman" w:cs="Times New Roman"/>
          <w:i/>
          <w:iCs/>
          <w:sz w:val="22"/>
          <w:szCs w:val="22"/>
        </w:rPr>
        <w:t>the power of God,</w:t>
      </w:r>
      <w:r>
        <w:rPr>
          <w:rFonts w:ascii="Times New Roman" w:hAnsi="Times New Roman" w:cs="Times New Roman"/>
          <w:sz w:val="22"/>
          <w:szCs w:val="22"/>
        </w:rPr>
        <w:t xml:space="preserve"> and </w:t>
      </w:r>
      <w:r>
        <w:rPr>
          <w:rFonts w:ascii="Times New Roman" w:hAnsi="Times New Roman" w:cs="Times New Roman"/>
          <w:i/>
          <w:iCs/>
          <w:sz w:val="22"/>
          <w:szCs w:val="22"/>
        </w:rPr>
        <w:t>lift your two hands</w:t>
      </w:r>
      <w:r>
        <w:rPr>
          <w:rFonts w:ascii="Times New Roman" w:hAnsi="Times New Roman" w:cs="Times New Roman"/>
          <w:sz w:val="22"/>
          <w:szCs w:val="22"/>
        </w:rPr>
        <w:t xml:space="preserve"> reflect the themes of spiritual empowerment, deliverance, and congregational participation. Therefore, these N-grams demonstrate that Nigerian sermons frequently combine faith affirmation, scriptural citation, and liturgical expressions to reinforce both spiritual authority and active engagement among listeners.</w:t>
      </w:r>
    </w:p>
    <w:p w14:paraId="476470C4">
      <w:pPr>
        <w:spacing w:line="480" w:lineRule="auto"/>
        <w:jc w:val="both"/>
        <w:rPr>
          <w:rFonts w:ascii="Times New Roman" w:hAnsi="Times New Roman" w:cs="Times New Roman"/>
          <w:sz w:val="22"/>
          <w:szCs w:val="22"/>
        </w:rPr>
      </w:pPr>
      <w:r>
        <w:rPr>
          <w:rFonts w:ascii="Times New Roman" w:hAnsi="Times New Roman" w:cs="Times New Roman"/>
          <w:b/>
          <w:bCs/>
          <w:sz w:val="22"/>
          <w:szCs w:val="22"/>
        </w:rPr>
        <w:t>Ideological Interpretation of Findings</w:t>
      </w:r>
    </w:p>
    <w:p w14:paraId="482E425E">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The corpus findings of the current study indicate that Nigerian Christian sermons are structured around recurring lexical and phrasal patterns that consistently foreground divine authority, spiritual experience, and communal religious life. However, these patterns also construct specific ideological representations of reality. For example, the dominance of divine lexical items such as </w:t>
      </w:r>
      <w:r>
        <w:rPr>
          <w:rFonts w:ascii="Times New Roman" w:hAnsi="Times New Roman" w:cs="Times New Roman"/>
          <w:i/>
          <w:iCs/>
          <w:sz w:val="22"/>
          <w:szCs w:val="22"/>
        </w:rPr>
        <w:t>God</w:t>
      </w:r>
      <w:r>
        <w:rPr>
          <w:rFonts w:ascii="Times New Roman" w:hAnsi="Times New Roman" w:cs="Times New Roman"/>
          <w:sz w:val="22"/>
          <w:szCs w:val="22"/>
        </w:rPr>
        <w:t xml:space="preserve">, </w:t>
      </w:r>
      <w:r>
        <w:rPr>
          <w:rFonts w:ascii="Times New Roman" w:hAnsi="Times New Roman" w:cs="Times New Roman"/>
          <w:i/>
          <w:iCs/>
          <w:sz w:val="22"/>
          <w:szCs w:val="22"/>
        </w:rPr>
        <w:t>Jesus</w:t>
      </w:r>
      <w:r>
        <w:rPr>
          <w:rFonts w:ascii="Times New Roman" w:hAnsi="Times New Roman" w:cs="Times New Roman"/>
          <w:sz w:val="22"/>
          <w:szCs w:val="22"/>
        </w:rPr>
        <w:t xml:space="preserve">, </w:t>
      </w:r>
      <w:r>
        <w:rPr>
          <w:rFonts w:ascii="Times New Roman" w:hAnsi="Times New Roman" w:cs="Times New Roman"/>
          <w:i/>
          <w:iCs/>
          <w:sz w:val="22"/>
          <w:szCs w:val="22"/>
        </w:rPr>
        <w:t>Lord</w:t>
      </w:r>
      <w:r>
        <w:rPr>
          <w:rFonts w:ascii="Times New Roman" w:hAnsi="Times New Roman" w:cs="Times New Roman"/>
          <w:sz w:val="22"/>
          <w:szCs w:val="22"/>
        </w:rPr>
        <w:t xml:space="preserve">, and </w:t>
      </w:r>
      <w:r>
        <w:rPr>
          <w:rFonts w:ascii="Times New Roman" w:hAnsi="Times New Roman" w:cs="Times New Roman"/>
          <w:i/>
          <w:iCs/>
          <w:sz w:val="22"/>
          <w:szCs w:val="22"/>
        </w:rPr>
        <w:t>Spirit</w:t>
      </w:r>
      <w:r>
        <w:rPr>
          <w:rFonts w:ascii="Times New Roman" w:hAnsi="Times New Roman" w:cs="Times New Roman"/>
          <w:sz w:val="22"/>
          <w:szCs w:val="22"/>
        </w:rPr>
        <w:t xml:space="preserve"> builds an ideology of divine centrality, where spiritual and social realities are interpreted through the supremacy of God. This positioning shows a worldview in which human experience is continuously subordinated to divine authority, strengthening a theocentric ideology in sermon discourse.</w:t>
      </w:r>
    </w:p>
    <w:p w14:paraId="0DBE350F">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Similarly, lexical items associated with </w:t>
      </w:r>
      <w:r>
        <w:rPr>
          <w:rFonts w:ascii="Times New Roman" w:hAnsi="Times New Roman" w:cs="Times New Roman"/>
          <w:i/>
          <w:iCs/>
          <w:sz w:val="22"/>
          <w:szCs w:val="22"/>
        </w:rPr>
        <w:t>faith</w:t>
      </w:r>
      <w:r>
        <w:rPr>
          <w:rFonts w:ascii="Times New Roman" w:hAnsi="Times New Roman" w:cs="Times New Roman"/>
          <w:sz w:val="22"/>
          <w:szCs w:val="22"/>
        </w:rPr>
        <w:t xml:space="preserve">, </w:t>
      </w:r>
      <w:r>
        <w:rPr>
          <w:rFonts w:ascii="Times New Roman" w:hAnsi="Times New Roman" w:cs="Times New Roman"/>
          <w:i/>
          <w:iCs/>
          <w:sz w:val="22"/>
          <w:szCs w:val="22"/>
        </w:rPr>
        <w:t>grace</w:t>
      </w:r>
      <w:r>
        <w:rPr>
          <w:rFonts w:ascii="Times New Roman" w:hAnsi="Times New Roman" w:cs="Times New Roman"/>
          <w:sz w:val="22"/>
          <w:szCs w:val="22"/>
        </w:rPr>
        <w:t xml:space="preserve">, </w:t>
      </w:r>
      <w:r>
        <w:rPr>
          <w:rFonts w:ascii="Times New Roman" w:hAnsi="Times New Roman" w:cs="Times New Roman"/>
          <w:i/>
          <w:iCs/>
          <w:sz w:val="22"/>
          <w:szCs w:val="22"/>
        </w:rPr>
        <w:t>hope</w:t>
      </w:r>
      <w:r>
        <w:rPr>
          <w:rFonts w:ascii="Times New Roman" w:hAnsi="Times New Roman" w:cs="Times New Roman"/>
          <w:sz w:val="22"/>
          <w:szCs w:val="22"/>
        </w:rPr>
        <w:t xml:space="preserve">, and </w:t>
      </w:r>
      <w:r>
        <w:rPr>
          <w:rFonts w:ascii="Times New Roman" w:hAnsi="Times New Roman" w:cs="Times New Roman"/>
          <w:i/>
          <w:iCs/>
          <w:sz w:val="22"/>
          <w:szCs w:val="22"/>
        </w:rPr>
        <w:t>salvation</w:t>
      </w:r>
      <w:r>
        <w:rPr>
          <w:rFonts w:ascii="Times New Roman" w:hAnsi="Times New Roman" w:cs="Times New Roman"/>
          <w:sz w:val="22"/>
          <w:szCs w:val="22"/>
        </w:rPr>
        <w:t xml:space="preserve"> construct an ideology of spiritual agency through belief, where personal transformation is presented as dependent on faith-based engagement. This implies that individual experiences of success, peace, or deliverance are framed not as secular outcomes but as spiritually mediated realities. In addition, the presence of worship-related vocabulary such as </w:t>
      </w:r>
      <w:r>
        <w:rPr>
          <w:rFonts w:ascii="Times New Roman" w:hAnsi="Times New Roman" w:cs="Times New Roman"/>
          <w:i/>
          <w:iCs/>
          <w:sz w:val="22"/>
          <w:szCs w:val="22"/>
        </w:rPr>
        <w:t>prayer</w:t>
      </w:r>
      <w:r>
        <w:rPr>
          <w:rFonts w:ascii="Times New Roman" w:hAnsi="Times New Roman" w:cs="Times New Roman"/>
          <w:sz w:val="22"/>
          <w:szCs w:val="22"/>
        </w:rPr>
        <w:t xml:space="preserve">, </w:t>
      </w:r>
      <w:r>
        <w:rPr>
          <w:rFonts w:ascii="Times New Roman" w:hAnsi="Times New Roman" w:cs="Times New Roman"/>
          <w:i/>
          <w:iCs/>
          <w:sz w:val="22"/>
          <w:szCs w:val="22"/>
        </w:rPr>
        <w:t>amen</w:t>
      </w:r>
      <w:r>
        <w:rPr>
          <w:rFonts w:ascii="Times New Roman" w:hAnsi="Times New Roman" w:cs="Times New Roman"/>
          <w:sz w:val="22"/>
          <w:szCs w:val="22"/>
        </w:rPr>
        <w:t xml:space="preserve">, </w:t>
      </w:r>
      <w:r>
        <w:rPr>
          <w:rFonts w:ascii="Times New Roman" w:hAnsi="Times New Roman" w:cs="Times New Roman"/>
          <w:i/>
          <w:iCs/>
          <w:sz w:val="22"/>
          <w:szCs w:val="22"/>
        </w:rPr>
        <w:t>hallelujah</w:t>
      </w:r>
      <w:r>
        <w:rPr>
          <w:rFonts w:ascii="Times New Roman" w:hAnsi="Times New Roman" w:cs="Times New Roman"/>
          <w:sz w:val="22"/>
          <w:szCs w:val="22"/>
        </w:rPr>
        <w:t xml:space="preserve">, and </w:t>
      </w:r>
      <w:r>
        <w:rPr>
          <w:rFonts w:ascii="Times New Roman" w:hAnsi="Times New Roman" w:cs="Times New Roman"/>
          <w:i/>
          <w:iCs/>
          <w:sz w:val="22"/>
          <w:szCs w:val="22"/>
        </w:rPr>
        <w:t>Bible</w:t>
      </w:r>
      <w:r>
        <w:rPr>
          <w:rFonts w:ascii="Times New Roman" w:hAnsi="Times New Roman" w:cs="Times New Roman"/>
          <w:sz w:val="22"/>
          <w:szCs w:val="22"/>
        </w:rPr>
        <w:t xml:space="preserve"> shows an ideology of ritual participation and obedience, where religious identity is constructed through active engagement in liturgical practices. Sermons, therefore, position congregants as participants in a shared spiritual performance guided by scriptural authority.</w:t>
      </w:r>
    </w:p>
    <w:p w14:paraId="32777365">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Furthermore, the prominence of terms associated with spiritual warfare, power, deliverance, and breakthrough constructs an ideology of existential struggle and divine intervention, where life is interpreted as a continuous battle between opposing spiritual forces. Within this framework, divine intervention is presented as the primary solution to human challenges, reinforcing a dependency-oriented spiritual worldview. Finally, lexical items linked to </w:t>
      </w:r>
      <w:r>
        <w:rPr>
          <w:rFonts w:ascii="Times New Roman" w:hAnsi="Times New Roman" w:cs="Times New Roman"/>
          <w:i/>
          <w:iCs/>
          <w:sz w:val="22"/>
          <w:szCs w:val="22"/>
        </w:rPr>
        <w:t>church</w:t>
      </w:r>
      <w:r>
        <w:rPr>
          <w:rFonts w:ascii="Times New Roman" w:hAnsi="Times New Roman" w:cs="Times New Roman"/>
          <w:sz w:val="22"/>
          <w:szCs w:val="22"/>
        </w:rPr>
        <w:t xml:space="preserve">, </w:t>
      </w:r>
      <w:r>
        <w:rPr>
          <w:rFonts w:ascii="Times New Roman" w:hAnsi="Times New Roman" w:cs="Times New Roman"/>
          <w:i/>
          <w:iCs/>
          <w:sz w:val="22"/>
          <w:szCs w:val="22"/>
        </w:rPr>
        <w:t>pastor</w:t>
      </w:r>
      <w:r>
        <w:rPr>
          <w:rFonts w:ascii="Times New Roman" w:hAnsi="Times New Roman" w:cs="Times New Roman"/>
          <w:sz w:val="22"/>
          <w:szCs w:val="22"/>
        </w:rPr>
        <w:t xml:space="preserve">, </w:t>
      </w:r>
      <w:r>
        <w:rPr>
          <w:rFonts w:ascii="Times New Roman" w:hAnsi="Times New Roman" w:cs="Times New Roman"/>
          <w:i/>
          <w:iCs/>
          <w:sz w:val="22"/>
          <w:szCs w:val="22"/>
        </w:rPr>
        <w:t>disciples</w:t>
      </w:r>
      <w:r>
        <w:rPr>
          <w:rFonts w:ascii="Times New Roman" w:hAnsi="Times New Roman" w:cs="Times New Roman"/>
          <w:sz w:val="22"/>
          <w:szCs w:val="22"/>
        </w:rPr>
        <w:t xml:space="preserve">, and </w:t>
      </w:r>
      <w:r>
        <w:rPr>
          <w:rFonts w:ascii="Times New Roman" w:hAnsi="Times New Roman" w:cs="Times New Roman"/>
          <w:i/>
          <w:iCs/>
          <w:sz w:val="22"/>
          <w:szCs w:val="22"/>
        </w:rPr>
        <w:t>community</w:t>
      </w:r>
      <w:r>
        <w:rPr>
          <w:rFonts w:ascii="Times New Roman" w:hAnsi="Times New Roman" w:cs="Times New Roman"/>
          <w:sz w:val="22"/>
          <w:szCs w:val="22"/>
        </w:rPr>
        <w:t xml:space="preserve"> form an ideology of collective religious identity, where belonging to the faith community is important to spiritual growth. This positions the church as both a social and spiritual institution responsible for shaping moral behaviour and identity formation.</w:t>
      </w:r>
    </w:p>
    <w:p w14:paraId="2B92B97E">
      <w:pPr>
        <w:spacing w:line="480" w:lineRule="auto"/>
        <w:jc w:val="both"/>
        <w:rPr>
          <w:rFonts w:ascii="Times New Roman" w:hAnsi="Times New Roman" w:cs="Times New Roman"/>
          <w:sz w:val="22"/>
          <w:szCs w:val="22"/>
        </w:rPr>
      </w:pPr>
      <w:r>
        <w:rPr>
          <w:rFonts w:ascii="Times New Roman" w:hAnsi="Times New Roman" w:cs="Times New Roman"/>
          <w:sz w:val="22"/>
          <w:szCs w:val="22"/>
        </w:rPr>
        <w:t>Hence, the semantic and lexical patterns identified across the corpus reveal that Nigerian Christian sermons actively construct ideological frameworks that shape how reality is interpreted through divine authority, spiritual struggle, communal belonging, and faith-based transformation.</w:t>
      </w:r>
    </w:p>
    <w:p w14:paraId="33C98174">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 xml:space="preserve">Conclusion and Recommendations </w:t>
      </w:r>
    </w:p>
    <w:p w14:paraId="5478044C">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This study shows that Nigerian Christian sermons are characterised by a strong focus on theological and scriptural elements, with frequent references to </w:t>
      </w:r>
      <w:r>
        <w:rPr>
          <w:rFonts w:ascii="Times New Roman" w:hAnsi="Times New Roman" w:cs="Times New Roman"/>
          <w:i/>
          <w:iCs/>
          <w:sz w:val="22"/>
          <w:szCs w:val="22"/>
        </w:rPr>
        <w:t>God</w:t>
      </w:r>
      <w:r>
        <w:rPr>
          <w:rFonts w:ascii="Times New Roman" w:hAnsi="Times New Roman" w:cs="Times New Roman"/>
          <w:sz w:val="22"/>
          <w:szCs w:val="22"/>
        </w:rPr>
        <w:t xml:space="preserve">, </w:t>
      </w:r>
      <w:r>
        <w:rPr>
          <w:rFonts w:ascii="Times New Roman" w:hAnsi="Times New Roman" w:cs="Times New Roman"/>
          <w:i/>
          <w:iCs/>
          <w:sz w:val="22"/>
          <w:szCs w:val="22"/>
        </w:rPr>
        <w:t>Jesus</w:t>
      </w:r>
      <w:r>
        <w:rPr>
          <w:rFonts w:ascii="Times New Roman" w:hAnsi="Times New Roman" w:cs="Times New Roman"/>
          <w:sz w:val="22"/>
          <w:szCs w:val="22"/>
        </w:rPr>
        <w:t xml:space="preserve">, </w:t>
      </w:r>
      <w:r>
        <w:rPr>
          <w:rFonts w:ascii="Times New Roman" w:hAnsi="Times New Roman" w:cs="Times New Roman"/>
          <w:i/>
          <w:iCs/>
          <w:sz w:val="22"/>
          <w:szCs w:val="22"/>
        </w:rPr>
        <w:t>Christ</w:t>
      </w:r>
      <w:r>
        <w:rPr>
          <w:rFonts w:ascii="Times New Roman" w:hAnsi="Times New Roman" w:cs="Times New Roman"/>
          <w:sz w:val="22"/>
          <w:szCs w:val="22"/>
        </w:rPr>
        <w:t>, and faith. At the same time, sermons emphasise practical spirituality and audience engagement, as seen in repeated phrases and participatory language that encourage personal reflection and action. This study explored how these patterns contribute to ideological representation within sermon discourse. Hence, the integration of corpus linguistics and ideational analysis shows how recurring lexical choices serve specific communicative and theological purposes in sermon discourse.</w:t>
      </w:r>
    </w:p>
    <w:p w14:paraId="1B49CA8D">
      <w:pPr>
        <w:spacing w:line="480" w:lineRule="auto"/>
        <w:jc w:val="both"/>
        <w:rPr>
          <w:rFonts w:ascii="Times New Roman" w:hAnsi="Times New Roman" w:cs="Times New Roman"/>
          <w:sz w:val="22"/>
          <w:szCs w:val="22"/>
        </w:rPr>
      </w:pPr>
      <w:r>
        <w:rPr>
          <w:rFonts w:ascii="Times New Roman" w:hAnsi="Times New Roman" w:cs="Times New Roman"/>
          <w:sz w:val="22"/>
          <w:szCs w:val="22"/>
        </w:rPr>
        <w:t>Based on these insights, it is recommended that pastoral practitioners and church communicators strategically integrate both scriptural exposition and contextually relevant, practical guidance to enhance congregational comprehension and application of spiritual teachings. Theological education and ministerial training programs should incorporate corpus-informed analyses to enable preachers to recognize salient lexical patterns and rhetorical strategies. Furthermore, churches may consider structured workshops on interactive and participatory preaching techniques to foster congregational engagement. Future research should expand the corpus to encompass a broader range of denominations, regional contexts, and vernacular languages to provide a more comprehensive understanding of sermonic discourse in Nigeria.</w:t>
      </w:r>
    </w:p>
    <w:p w14:paraId="78EC4F1F">
      <w:pPr>
        <w:spacing w:line="480" w:lineRule="auto"/>
        <w:jc w:val="both"/>
        <w:rPr>
          <w:rFonts w:ascii="Times New Roman" w:hAnsi="Times New Roman" w:cs="Times New Roman"/>
          <w:b/>
          <w:bCs/>
          <w:sz w:val="22"/>
          <w:szCs w:val="22"/>
        </w:rPr>
      </w:pPr>
      <w:r>
        <w:rPr>
          <w:rFonts w:ascii="Times New Roman" w:hAnsi="Times New Roman" w:cs="Times New Roman"/>
          <w:b/>
          <w:bCs/>
          <w:sz w:val="22"/>
          <w:szCs w:val="22"/>
        </w:rPr>
        <w:t>References</w:t>
      </w:r>
    </w:p>
    <w:p w14:paraId="1CA4588B">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Ayansola, A. O. (2021). A study of pragmatic acts and hate speech strategies in Christian sermons in </w:t>
      </w:r>
      <w:r>
        <w:rPr>
          <w:rFonts w:ascii="Times New Roman" w:hAnsi="Times New Roman" w:cs="Times New Roman"/>
          <w:i/>
          <w:iCs/>
          <w:sz w:val="22"/>
          <w:szCs w:val="22"/>
        </w:rPr>
        <w:t>Nigeria. Ghana Journal of Linguistics</w:t>
      </w:r>
      <w:r>
        <w:rPr>
          <w:rFonts w:ascii="Times New Roman" w:hAnsi="Times New Roman" w:cs="Times New Roman"/>
          <w:sz w:val="22"/>
          <w:szCs w:val="22"/>
        </w:rPr>
        <w:t xml:space="preserve">, 10(2), 1–20. </w:t>
      </w:r>
      <w:r>
        <w:fldChar w:fldCharType="begin"/>
      </w:r>
      <w:r>
        <w:instrText xml:space="preserve"> HYPERLINK "https://doi.org/10.4314/gjl.v10i2.429" </w:instrText>
      </w:r>
      <w:r>
        <w:fldChar w:fldCharType="separate"/>
      </w:r>
      <w:r>
        <w:rPr>
          <w:rStyle w:val="18"/>
          <w:rFonts w:ascii="Times New Roman" w:hAnsi="Times New Roman" w:cs="Times New Roman"/>
          <w:sz w:val="22"/>
          <w:szCs w:val="22"/>
        </w:rPr>
        <w:t>https://doi.org/10.4314/gjl.v10i2.429</w:t>
      </w:r>
      <w:r>
        <w:rPr>
          <w:rStyle w:val="18"/>
          <w:rFonts w:ascii="Times New Roman" w:hAnsi="Times New Roman" w:cs="Times New Roman"/>
          <w:sz w:val="22"/>
          <w:szCs w:val="22"/>
        </w:rPr>
        <w:fldChar w:fldCharType="end"/>
      </w:r>
    </w:p>
    <w:p w14:paraId="67E57EC5">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Baker, P. (2009). </w:t>
      </w:r>
      <w:r>
        <w:rPr>
          <w:rFonts w:ascii="Times New Roman" w:hAnsi="Times New Roman" w:cs="Times New Roman"/>
          <w:i/>
          <w:iCs/>
          <w:sz w:val="22"/>
          <w:szCs w:val="22"/>
        </w:rPr>
        <w:t>Sociolinguistics and corpus linguistics.</w:t>
      </w:r>
      <w:r>
        <w:rPr>
          <w:rFonts w:ascii="Times New Roman" w:hAnsi="Times New Roman" w:cs="Times New Roman"/>
          <w:sz w:val="22"/>
          <w:szCs w:val="22"/>
        </w:rPr>
        <w:t xml:space="preserve"> Edinburgh University Press.</w:t>
      </w:r>
    </w:p>
    <w:p w14:paraId="6A3D4732">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lang w:val="de-AT"/>
        </w:rPr>
        <w:t xml:space="preserve">Beijen, E., Pieterse, P., Çelik, Y., van Peursen, W. T., Bhulai, S., &amp; Morren, M. (2025). </w:t>
      </w:r>
      <w:r>
        <w:rPr>
          <w:rFonts w:ascii="Times New Roman" w:hAnsi="Times New Roman" w:cs="Times New Roman"/>
          <w:sz w:val="22"/>
          <w:szCs w:val="22"/>
        </w:rPr>
        <w:t xml:space="preserve">Detecting religious language in climate discourse. </w:t>
      </w:r>
      <w:r>
        <w:rPr>
          <w:rFonts w:ascii="Times New Roman" w:hAnsi="Times New Roman" w:cs="Times New Roman"/>
          <w:i/>
          <w:iCs/>
          <w:sz w:val="22"/>
          <w:szCs w:val="22"/>
        </w:rPr>
        <w:t>arXiv</w:t>
      </w:r>
      <w:r>
        <w:rPr>
          <w:rFonts w:ascii="Times New Roman" w:hAnsi="Times New Roman" w:cs="Times New Roman"/>
          <w:sz w:val="22"/>
          <w:szCs w:val="22"/>
        </w:rPr>
        <w:t xml:space="preserve"> </w:t>
      </w:r>
      <w:r>
        <w:rPr>
          <w:rFonts w:ascii="Times New Roman" w:hAnsi="Times New Roman" w:cs="Times New Roman"/>
          <w:i/>
          <w:iCs/>
          <w:sz w:val="22"/>
          <w:szCs w:val="22"/>
        </w:rPr>
        <w:t>preprint</w:t>
      </w:r>
      <w:r>
        <w:rPr>
          <w:rFonts w:ascii="Times New Roman" w:hAnsi="Times New Roman" w:cs="Times New Roman"/>
          <w:sz w:val="22"/>
          <w:szCs w:val="22"/>
        </w:rPr>
        <w:t xml:space="preserve">. </w:t>
      </w:r>
      <w:r>
        <w:fldChar w:fldCharType="begin"/>
      </w:r>
      <w:r>
        <w:instrText xml:space="preserve"> HYPERLINK "https://arxiv.org/abs/2510.23395" </w:instrText>
      </w:r>
      <w:r>
        <w:fldChar w:fldCharType="separate"/>
      </w:r>
      <w:r>
        <w:rPr>
          <w:rStyle w:val="18"/>
          <w:rFonts w:ascii="Times New Roman" w:hAnsi="Times New Roman" w:cs="Times New Roman"/>
          <w:sz w:val="22"/>
          <w:szCs w:val="22"/>
        </w:rPr>
        <w:t>https://arxiv.org/abs/2510.23395</w:t>
      </w:r>
      <w:r>
        <w:rPr>
          <w:rStyle w:val="18"/>
          <w:rFonts w:ascii="Times New Roman" w:hAnsi="Times New Roman" w:cs="Times New Roman"/>
          <w:sz w:val="22"/>
          <w:szCs w:val="22"/>
        </w:rPr>
        <w:fldChar w:fldCharType="end"/>
      </w:r>
    </w:p>
    <w:p w14:paraId="4BE13E20">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Elewa, A. (2025). A corpus-based analysis of gendered language in spoken religious discourse. </w:t>
      </w:r>
      <w:r>
        <w:rPr>
          <w:rFonts w:ascii="Times New Roman" w:hAnsi="Times New Roman" w:cs="Times New Roman"/>
          <w:i/>
          <w:iCs/>
          <w:sz w:val="22"/>
          <w:szCs w:val="22"/>
        </w:rPr>
        <w:t>Applied</w:t>
      </w:r>
      <w:r>
        <w:rPr>
          <w:rFonts w:ascii="Times New Roman" w:hAnsi="Times New Roman" w:cs="Times New Roman"/>
          <w:sz w:val="22"/>
          <w:szCs w:val="22"/>
        </w:rPr>
        <w:t xml:space="preserve"> </w:t>
      </w:r>
      <w:r>
        <w:rPr>
          <w:rFonts w:ascii="Times New Roman" w:hAnsi="Times New Roman" w:cs="Times New Roman"/>
          <w:i/>
          <w:iCs/>
          <w:sz w:val="22"/>
          <w:szCs w:val="22"/>
        </w:rPr>
        <w:t>Corpus Linguistics</w:t>
      </w:r>
      <w:r>
        <w:rPr>
          <w:rFonts w:ascii="Times New Roman" w:hAnsi="Times New Roman" w:cs="Times New Roman"/>
          <w:sz w:val="22"/>
          <w:szCs w:val="22"/>
        </w:rPr>
        <w:t xml:space="preserve">, 5(3), 100137. </w:t>
      </w:r>
      <w:r>
        <w:fldChar w:fldCharType="begin"/>
      </w:r>
      <w:r>
        <w:instrText xml:space="preserve"> HYPERLINK "https://doi.org/10.1016/j.acorp.2025.100137" </w:instrText>
      </w:r>
      <w:r>
        <w:fldChar w:fldCharType="separate"/>
      </w:r>
      <w:r>
        <w:rPr>
          <w:rStyle w:val="18"/>
          <w:rFonts w:ascii="Times New Roman" w:hAnsi="Times New Roman" w:cs="Times New Roman"/>
          <w:sz w:val="22"/>
          <w:szCs w:val="22"/>
        </w:rPr>
        <w:t>https://doi.org/10.1016/j.acorp.2025.100137</w:t>
      </w:r>
      <w:r>
        <w:rPr>
          <w:rStyle w:val="18"/>
          <w:rFonts w:ascii="Times New Roman" w:hAnsi="Times New Roman" w:cs="Times New Roman"/>
          <w:sz w:val="22"/>
          <w:szCs w:val="22"/>
        </w:rPr>
        <w:fldChar w:fldCharType="end"/>
      </w:r>
    </w:p>
    <w:p w14:paraId="1B194039">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Esimaje , A. U. (2012). A lexical study of Christian sermon discourse. </w:t>
      </w:r>
      <w:r>
        <w:rPr>
          <w:rFonts w:ascii="Times New Roman" w:hAnsi="Times New Roman" w:cs="Times New Roman"/>
          <w:i/>
          <w:iCs/>
          <w:sz w:val="22"/>
          <w:szCs w:val="22"/>
        </w:rPr>
        <w:t>English Language Teaching</w:t>
      </w:r>
      <w:r>
        <w:rPr>
          <w:rFonts w:ascii="Times New Roman" w:hAnsi="Times New Roman" w:cs="Times New Roman"/>
          <w:sz w:val="22"/>
          <w:szCs w:val="22"/>
        </w:rPr>
        <w:t xml:space="preserve">, 5(9), 59–66. </w:t>
      </w:r>
      <w:r>
        <w:fldChar w:fldCharType="begin"/>
      </w:r>
      <w:r>
        <w:instrText xml:space="preserve"> HYPERLINK "https://doi.org/10.5539/elt.v5n9p24" </w:instrText>
      </w:r>
      <w:r>
        <w:fldChar w:fldCharType="separate"/>
      </w:r>
      <w:r>
        <w:rPr>
          <w:rStyle w:val="18"/>
          <w:rFonts w:ascii="Times New Roman" w:hAnsi="Times New Roman" w:cs="Times New Roman"/>
          <w:sz w:val="22"/>
          <w:szCs w:val="22"/>
        </w:rPr>
        <w:t>https://doi.org/10.5539/elt.v5n9p24</w:t>
      </w:r>
      <w:r>
        <w:rPr>
          <w:rStyle w:val="18"/>
          <w:rFonts w:ascii="Times New Roman" w:hAnsi="Times New Roman" w:cs="Times New Roman"/>
          <w:sz w:val="22"/>
          <w:szCs w:val="22"/>
        </w:rPr>
        <w:fldChar w:fldCharType="end"/>
      </w:r>
    </w:p>
    <w:p w14:paraId="32C18215">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Halliday, M. A. K. (2004). </w:t>
      </w:r>
      <w:r>
        <w:rPr>
          <w:rFonts w:ascii="Times New Roman" w:hAnsi="Times New Roman" w:cs="Times New Roman"/>
          <w:i/>
          <w:iCs/>
          <w:sz w:val="22"/>
          <w:szCs w:val="22"/>
        </w:rPr>
        <w:t xml:space="preserve">An introduction to functional grammar </w:t>
      </w:r>
      <w:r>
        <w:rPr>
          <w:rFonts w:ascii="Times New Roman" w:hAnsi="Times New Roman" w:cs="Times New Roman"/>
          <w:sz w:val="22"/>
          <w:szCs w:val="22"/>
        </w:rPr>
        <w:t>(3</w:t>
      </w:r>
      <w:r>
        <w:rPr>
          <w:rFonts w:ascii="Times New Roman" w:hAnsi="Times New Roman" w:cs="Times New Roman"/>
          <w:sz w:val="22"/>
          <w:szCs w:val="22"/>
          <w:vertAlign w:val="superscript"/>
        </w:rPr>
        <w:t>rd</w:t>
      </w:r>
      <w:r>
        <w:rPr>
          <w:rFonts w:ascii="Times New Roman" w:hAnsi="Times New Roman" w:cs="Times New Roman"/>
          <w:sz w:val="22"/>
          <w:szCs w:val="22"/>
        </w:rPr>
        <w:t xml:space="preserve"> ed.). Routledge.</w:t>
      </w:r>
    </w:p>
    <w:p w14:paraId="44A81C05">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Halliday, M. A. K., &amp; Matthiessen, C. M. I. M. (2014).</w:t>
      </w:r>
      <w:r>
        <w:rPr>
          <w:rFonts w:ascii="Times New Roman" w:hAnsi="Times New Roman" w:cs="Times New Roman"/>
          <w:i/>
          <w:iCs/>
          <w:sz w:val="22"/>
          <w:szCs w:val="22"/>
        </w:rPr>
        <w:t xml:space="preserve"> An introduction to functional grammar </w:t>
      </w:r>
      <w:r>
        <w:rPr>
          <w:rFonts w:ascii="Times New Roman" w:hAnsi="Times New Roman" w:cs="Times New Roman"/>
          <w:sz w:val="22"/>
          <w:szCs w:val="22"/>
        </w:rPr>
        <w:t>(4</w:t>
      </w:r>
      <w:r>
        <w:rPr>
          <w:rFonts w:ascii="Times New Roman" w:hAnsi="Times New Roman" w:cs="Times New Roman"/>
          <w:sz w:val="22"/>
          <w:szCs w:val="22"/>
          <w:vertAlign w:val="superscript"/>
        </w:rPr>
        <w:t>th</w:t>
      </w:r>
      <w:r>
        <w:rPr>
          <w:rFonts w:ascii="Times New Roman" w:hAnsi="Times New Roman" w:cs="Times New Roman"/>
          <w:sz w:val="22"/>
          <w:szCs w:val="22"/>
        </w:rPr>
        <w:t xml:space="preserve"> ed.). Routledge.</w:t>
      </w:r>
    </w:p>
    <w:p w14:paraId="0047D518">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Lewis, K. R. (2024). Sermon design and sermon structure in the effective development of expository preaching. Semănătorul (The Sower), 5(1), 51–78. </w:t>
      </w:r>
      <w:r>
        <w:fldChar w:fldCharType="begin"/>
      </w:r>
      <w:r>
        <w:instrText xml:space="preserve"> HYPERLINK "https://doi.org/10.58892/TS.swr5120" </w:instrText>
      </w:r>
      <w:r>
        <w:fldChar w:fldCharType="separate"/>
      </w:r>
      <w:r>
        <w:rPr>
          <w:rStyle w:val="18"/>
          <w:rFonts w:ascii="Times New Roman" w:hAnsi="Times New Roman" w:cs="Times New Roman"/>
          <w:sz w:val="22"/>
          <w:szCs w:val="22"/>
        </w:rPr>
        <w:t>https://doi.org/10.58892/TS.swr5120</w:t>
      </w:r>
      <w:r>
        <w:rPr>
          <w:rStyle w:val="18"/>
          <w:rFonts w:ascii="Times New Roman" w:hAnsi="Times New Roman" w:cs="Times New Roman"/>
          <w:sz w:val="22"/>
          <w:szCs w:val="22"/>
        </w:rPr>
        <w:fldChar w:fldCharType="end"/>
      </w:r>
    </w:p>
    <w:p w14:paraId="5EC6B50F">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Nofal, M. (2023). A corpus-driven exploration of language use in religious discourse. Journal of Research in Applied Linguistics, 14(1), 41–60. </w:t>
      </w:r>
      <w:r>
        <w:fldChar w:fldCharType="begin"/>
      </w:r>
      <w:r>
        <w:instrText xml:space="preserve"> HYPERLINK "https://doi.org/10.22055/RALS.2023.18067" </w:instrText>
      </w:r>
      <w:r>
        <w:fldChar w:fldCharType="separate"/>
      </w:r>
      <w:r>
        <w:rPr>
          <w:rStyle w:val="18"/>
          <w:rFonts w:ascii="Times New Roman" w:hAnsi="Times New Roman" w:cs="Times New Roman"/>
          <w:sz w:val="22"/>
          <w:szCs w:val="22"/>
        </w:rPr>
        <w:t>https://doi.org/10.22055/RALS.2023.18067</w:t>
      </w:r>
      <w:r>
        <w:rPr>
          <w:rStyle w:val="18"/>
          <w:rFonts w:ascii="Times New Roman" w:hAnsi="Times New Roman" w:cs="Times New Roman"/>
          <w:sz w:val="22"/>
          <w:szCs w:val="22"/>
        </w:rPr>
        <w:fldChar w:fldCharType="end"/>
      </w:r>
    </w:p>
    <w:p w14:paraId="081CFB43">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Palayon, R. T., Todd, R. W., &amp; Vungthong, S. (2025). Multifaceted approach of corpus analysis for characterizing Christian religious groups. </w:t>
      </w:r>
      <w:r>
        <w:rPr>
          <w:rFonts w:ascii="Times New Roman" w:hAnsi="Times New Roman" w:cs="Times New Roman"/>
          <w:i/>
          <w:iCs/>
          <w:sz w:val="22"/>
          <w:szCs w:val="22"/>
        </w:rPr>
        <w:t xml:space="preserve">Journal of English Linguistics. </w:t>
      </w:r>
      <w:r>
        <w:fldChar w:fldCharType="begin"/>
      </w:r>
      <w:r>
        <w:instrText xml:space="preserve"> HYPERLINK "https://doi.org/10.1177/20503032251344351" </w:instrText>
      </w:r>
      <w:r>
        <w:fldChar w:fldCharType="separate"/>
      </w:r>
      <w:r>
        <w:rPr>
          <w:rStyle w:val="18"/>
          <w:rFonts w:ascii="Times New Roman" w:hAnsi="Times New Roman" w:cs="Times New Roman"/>
          <w:sz w:val="22"/>
          <w:szCs w:val="22"/>
        </w:rPr>
        <w:t>https://doi.org/10.1177/20503032251344351</w:t>
      </w:r>
      <w:r>
        <w:rPr>
          <w:rStyle w:val="18"/>
          <w:rFonts w:ascii="Times New Roman" w:hAnsi="Times New Roman" w:cs="Times New Roman"/>
          <w:sz w:val="22"/>
          <w:szCs w:val="22"/>
        </w:rPr>
        <w:fldChar w:fldCharType="end"/>
      </w:r>
    </w:p>
    <w:p w14:paraId="5ADFF009">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Partington, A., Duguid, A., &amp; Taylor, C. (2013). Patterns and meanings in discourse: Theory and practice in corpus-assisted discourse studies. John Benjamins.</w:t>
      </w:r>
    </w:p>
    <w:p w14:paraId="5C087A09">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Rezwan, M. A.-B., Ghaseminia, M. A., Shahbazi, A., Hossayni, S. A., Torabian, N., &amp; Minaei-Bidgoli, B. (2025). Rezwan: Leveraging large language models for comprehensive Hadith text processing. </w:t>
      </w:r>
      <w:r>
        <w:rPr>
          <w:rFonts w:ascii="Times New Roman" w:hAnsi="Times New Roman" w:cs="Times New Roman"/>
          <w:i/>
          <w:iCs/>
          <w:sz w:val="22"/>
          <w:szCs w:val="22"/>
        </w:rPr>
        <w:t>arXiv preprint.</w:t>
      </w:r>
      <w:r>
        <w:rPr>
          <w:rFonts w:ascii="Times New Roman" w:hAnsi="Times New Roman" w:cs="Times New Roman"/>
          <w:sz w:val="22"/>
          <w:szCs w:val="22"/>
        </w:rPr>
        <w:t xml:space="preserve"> </w:t>
      </w:r>
      <w:r>
        <w:fldChar w:fldCharType="begin"/>
      </w:r>
      <w:r>
        <w:instrText xml:space="preserve"> HYPERLINK "https://arxiv.org/abs/2510.03781" </w:instrText>
      </w:r>
      <w:r>
        <w:fldChar w:fldCharType="separate"/>
      </w:r>
      <w:r>
        <w:rPr>
          <w:rStyle w:val="18"/>
          <w:rFonts w:ascii="Times New Roman" w:hAnsi="Times New Roman" w:cs="Times New Roman"/>
          <w:sz w:val="22"/>
          <w:szCs w:val="22"/>
        </w:rPr>
        <w:t>https://arxiv.org/abs/2510.03781</w:t>
      </w:r>
      <w:r>
        <w:rPr>
          <w:rStyle w:val="18"/>
          <w:rFonts w:ascii="Times New Roman" w:hAnsi="Times New Roman" w:cs="Times New Roman"/>
          <w:sz w:val="22"/>
          <w:szCs w:val="22"/>
        </w:rPr>
        <w:fldChar w:fldCharType="end"/>
      </w:r>
    </w:p>
    <w:p w14:paraId="4C3E9345">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Scott, M. (1997). </w:t>
      </w:r>
      <w:r>
        <w:rPr>
          <w:rFonts w:ascii="Times New Roman" w:hAnsi="Times New Roman" w:cs="Times New Roman"/>
          <w:i/>
          <w:iCs/>
          <w:sz w:val="22"/>
          <w:szCs w:val="22"/>
        </w:rPr>
        <w:t xml:space="preserve">WordSmith Tools. </w:t>
      </w:r>
      <w:r>
        <w:rPr>
          <w:rFonts w:ascii="Times New Roman" w:hAnsi="Times New Roman" w:cs="Times New Roman"/>
          <w:sz w:val="22"/>
          <w:szCs w:val="22"/>
        </w:rPr>
        <w:t>Oxford University Press.</w:t>
      </w:r>
    </w:p>
    <w:p w14:paraId="17A49C67">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Sinclair, J. (1991). </w:t>
      </w:r>
      <w:r>
        <w:rPr>
          <w:rFonts w:ascii="Times New Roman" w:hAnsi="Times New Roman" w:cs="Times New Roman"/>
          <w:i/>
          <w:iCs/>
          <w:sz w:val="22"/>
          <w:szCs w:val="22"/>
        </w:rPr>
        <w:t>Corpus, concordance, collocation.</w:t>
      </w:r>
      <w:r>
        <w:rPr>
          <w:rFonts w:ascii="Times New Roman" w:hAnsi="Times New Roman" w:cs="Times New Roman"/>
          <w:sz w:val="22"/>
          <w:szCs w:val="22"/>
        </w:rPr>
        <w:t xml:space="preserve"> Oxford University Press.</w:t>
      </w:r>
    </w:p>
    <w:p w14:paraId="2110E932">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Unuabonah, F. O. (2021). Oya let’s go to Nigeria: A corpus-based investigation of bilingual pragmatic markers in Nigerian English. </w:t>
      </w:r>
      <w:r>
        <w:rPr>
          <w:rFonts w:ascii="Times New Roman" w:hAnsi="Times New Roman" w:cs="Times New Roman"/>
          <w:i/>
          <w:iCs/>
          <w:sz w:val="22"/>
          <w:szCs w:val="22"/>
        </w:rPr>
        <w:t>International Journal of Corpus Linguistics</w:t>
      </w:r>
      <w:r>
        <w:rPr>
          <w:rFonts w:ascii="Times New Roman" w:hAnsi="Times New Roman" w:cs="Times New Roman"/>
          <w:sz w:val="22"/>
          <w:szCs w:val="22"/>
        </w:rPr>
        <w:t xml:space="preserve">, 26(3), 370–395. </w:t>
      </w:r>
      <w:r>
        <w:fldChar w:fldCharType="begin"/>
      </w:r>
      <w:r>
        <w:instrText xml:space="preserve"> HYPERLINK "https://doi.org/10.1075/ijcl.20026.unu" </w:instrText>
      </w:r>
      <w:r>
        <w:fldChar w:fldCharType="separate"/>
      </w:r>
      <w:r>
        <w:rPr>
          <w:rStyle w:val="18"/>
          <w:rFonts w:ascii="Times New Roman" w:hAnsi="Times New Roman" w:cs="Times New Roman"/>
          <w:sz w:val="22"/>
          <w:szCs w:val="22"/>
        </w:rPr>
        <w:t>https://doi.org/10.1075/ijcl.20026.unu</w:t>
      </w:r>
      <w:r>
        <w:rPr>
          <w:rStyle w:val="18"/>
          <w:rFonts w:ascii="Times New Roman" w:hAnsi="Times New Roman" w:cs="Times New Roman"/>
          <w:sz w:val="22"/>
          <w:szCs w:val="22"/>
        </w:rPr>
        <w:fldChar w:fldCharType="end"/>
      </w:r>
    </w:p>
    <w:p w14:paraId="20CEEB79">
      <w:pPr>
        <w:spacing w:line="480" w:lineRule="auto"/>
        <w:ind w:left="720" w:hanging="720"/>
        <w:jc w:val="both"/>
        <w:rPr>
          <w:rFonts w:ascii="Times New Roman" w:hAnsi="Times New Roman" w:cs="Times New Roman"/>
          <w:sz w:val="22"/>
          <w:szCs w:val="22"/>
        </w:rPr>
      </w:pPr>
      <w:r>
        <w:rPr>
          <w:rFonts w:ascii="Times New Roman" w:hAnsi="Times New Roman" w:cs="Times New Roman"/>
          <w:sz w:val="22"/>
          <w:szCs w:val="22"/>
        </w:rPr>
        <w:t xml:space="preserve">Unuabonah, F. O., Adebileje, A. O., &amp; Oladipupo, R. O. (2021). Intensifier usage in Nigerian English: A corpus-based approach. </w:t>
      </w:r>
      <w:r>
        <w:rPr>
          <w:rFonts w:ascii="Times New Roman" w:hAnsi="Times New Roman" w:cs="Times New Roman"/>
          <w:i/>
          <w:iCs/>
          <w:sz w:val="22"/>
          <w:szCs w:val="22"/>
        </w:rPr>
        <w:t>Corpus Pragmatics</w:t>
      </w:r>
      <w:r>
        <w:rPr>
          <w:rFonts w:ascii="Times New Roman" w:hAnsi="Times New Roman" w:cs="Times New Roman"/>
          <w:sz w:val="22"/>
          <w:szCs w:val="22"/>
        </w:rPr>
        <w:t xml:space="preserve">, 5(1–2), 147–170. </w:t>
      </w:r>
      <w:r>
        <w:fldChar w:fldCharType="begin"/>
      </w:r>
      <w:r>
        <w:instrText xml:space="preserve"> HYPERLINK "https://doi.org/10.1007/s41701-021-00102-7" </w:instrText>
      </w:r>
      <w:r>
        <w:fldChar w:fldCharType="separate"/>
      </w:r>
      <w:r>
        <w:rPr>
          <w:rStyle w:val="18"/>
          <w:rFonts w:ascii="Times New Roman" w:hAnsi="Times New Roman" w:cs="Times New Roman"/>
          <w:sz w:val="22"/>
          <w:szCs w:val="22"/>
        </w:rPr>
        <w:t>https://doi.org/10.1007/s41701-021-00102-7</w:t>
      </w:r>
      <w:r>
        <w:rPr>
          <w:rStyle w:val="18"/>
          <w:rFonts w:ascii="Times New Roman" w:hAnsi="Times New Roman" w:cs="Times New Roman"/>
          <w:sz w:val="22"/>
          <w:szCs w:val="22"/>
        </w:rPr>
        <w:fldChar w:fldCharType="end"/>
      </w:r>
    </w:p>
    <w:p w14:paraId="3D2C3F4C">
      <w:pPr>
        <w:spacing w:line="480" w:lineRule="auto"/>
        <w:ind w:left="720" w:hanging="720"/>
        <w:jc w:val="both"/>
        <w:rPr>
          <w:rFonts w:ascii="Times New Roman" w:hAnsi="Times New Roman" w:cs="Times New Roman"/>
          <w:sz w:val="22"/>
          <w:szCs w:val="22"/>
        </w:rPr>
      </w:pPr>
    </w:p>
    <w:p w14:paraId="6585253E">
      <w:pPr>
        <w:spacing w:line="480" w:lineRule="auto"/>
        <w:jc w:val="both"/>
        <w:rPr>
          <w:rFonts w:ascii="Times New Roman" w:hAnsi="Times New Roman" w:cs="Times New Roman"/>
          <w:sz w:val="22"/>
          <w:szCs w:val="22"/>
        </w:rPr>
      </w:pPr>
    </w:p>
    <w:sectPr>
      <w:footerReference r:id="rId5" w:type="default"/>
      <w:footerReference r:id="rId6" w:type="even"/>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swiss"/>
    <w:pitch w:val="default"/>
    <w:sig w:usb0="00000000" w:usb1="00000000" w:usb2="00000000" w:usb3="00000000" w:csb0="000001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DengXian">
    <w:altName w:val="SimSun"/>
    <w:panose1 w:val="02010600030101010101"/>
    <w:charset w:val="86"/>
    <w:family w:val="auto"/>
    <w:pitch w:val="default"/>
    <w:sig w:usb0="00000000" w:usb1="00000000" w:usb2="00000016" w:usb3="00000000" w:csb0="0004000F" w:csb1="00000000"/>
  </w:font>
  <w:font w:name="等线">
    <w:altName w:val="Arial Unicode MS"/>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Segoe UI Variable Display">
    <w:panose1 w:val="00000000000000000000"/>
    <w:charset w:val="00"/>
    <w:family w:val="auto"/>
    <w:pitch w:val="default"/>
    <w:sig w:usb0="A00002FF" w:usb1="0000000B" w:usb2="00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4168">
    <w:pPr>
      <w:pStyle w:val="16"/>
      <w:framePr w:wrap="auto" w:vAnchor="text" w:hAnchor="margin" w:xAlign="center" w:y="1"/>
      <w:jc w:val="center"/>
      <w:rPr>
        <w:rStyle w:val="19"/>
      </w:rPr>
    </w:pPr>
    <w:r>
      <w:rPr>
        <w:rStyle w:val="19"/>
      </w:rPr>
      <w:fldChar w:fldCharType="begin"/>
    </w:r>
    <w:r>
      <w:rPr>
        <w:rStyle w:val="19"/>
      </w:rPr>
      <w:instrText xml:space="preserve"> PAGE </w:instrText>
    </w:r>
    <w:r>
      <w:rPr>
        <w:rStyle w:val="19"/>
      </w:rPr>
      <w:fldChar w:fldCharType="separate"/>
    </w:r>
    <w:r>
      <w:rPr>
        <w:rStyle w:val="19"/>
      </w:rPr>
      <w:t>4</w:t>
    </w:r>
    <w:r>
      <w:rPr>
        <w:rStyle w:val="19"/>
      </w:rPr>
      <w:fldChar w:fldCharType="end"/>
    </w:r>
  </w:p>
  <w:p w14:paraId="0D33EAAE">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539A">
    <w:pPr>
      <w:pStyle w:val="16"/>
      <w:framePr w:wrap="auto" w:vAnchor="text" w:hAnchor="margin" w:xAlign="center" w:y="1"/>
      <w:jc w:val="center"/>
      <w:rPr>
        <w:rStyle w:val="19"/>
      </w:rPr>
    </w:pPr>
    <w:r>
      <w:rPr>
        <w:rStyle w:val="19"/>
      </w:rPr>
      <w:fldChar w:fldCharType="begin"/>
    </w:r>
    <w:r>
      <w:rPr>
        <w:rStyle w:val="19"/>
      </w:rPr>
      <w:instrText xml:space="preserve"> PAGE </w:instrText>
    </w:r>
    <w:r>
      <w:rPr>
        <w:rStyle w:val="19"/>
      </w:rPr>
      <w:fldChar w:fldCharType="end"/>
    </w:r>
  </w:p>
  <w:p w14:paraId="5B1508A5">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CA1"/>
    <w:rsid w:val="005A53FD"/>
    <w:rsid w:val="00A73E37"/>
    <w:rsid w:val="00B17B3D"/>
    <w:rsid w:val="00C32CA1"/>
    <w:rsid w:val="00E10542"/>
    <w:rsid w:val="00EE48BE"/>
    <w:rsid w:val="1EE13FF0"/>
    <w:rsid w:val="5A4232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Aptos" w:hAnsi="Aptos" w:eastAsia="SimSun" w:cs="SimSun"/>
      <w:kern w:val="2"/>
      <w:sz w:val="24"/>
      <w:szCs w:val="24"/>
      <w:lang w:val="en-GB" w:eastAsia="en-US" w:bidi="ar-SA"/>
      <w14:ligatures w14:val="standardContextual"/>
    </w:rPr>
  </w:style>
  <w:style w:type="paragraph" w:styleId="2">
    <w:name w:val="heading 1"/>
    <w:basedOn w:val="1"/>
    <w:next w:val="1"/>
    <w:link w:val="23"/>
    <w:qFormat/>
    <w:uiPriority w:val="9"/>
    <w:pPr>
      <w:keepNext/>
      <w:keepLines/>
      <w:spacing w:before="360" w:after="80"/>
      <w:outlineLvl w:val="0"/>
    </w:pPr>
    <w:rPr>
      <w:rFonts w:ascii="Aptos Display" w:hAnsi="Aptos Display"/>
      <w:color w:val="0F4761"/>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Aptos Display" w:hAnsi="Aptos Display"/>
      <w:color w:val="0F4761"/>
      <w:sz w:val="32"/>
      <w:szCs w:val="32"/>
    </w:rPr>
  </w:style>
  <w:style w:type="paragraph" w:styleId="4">
    <w:name w:val="heading 3"/>
    <w:basedOn w:val="1"/>
    <w:next w:val="1"/>
    <w:link w:val="25"/>
    <w:semiHidden/>
    <w:unhideWhenUsed/>
    <w:qFormat/>
    <w:uiPriority w:val="9"/>
    <w:pPr>
      <w:keepNext/>
      <w:keepLines/>
      <w:spacing w:before="160" w:after="80"/>
      <w:outlineLvl w:val="2"/>
    </w:pPr>
    <w:rPr>
      <w:color w:val="0F4761"/>
      <w:sz w:val="28"/>
      <w:szCs w:val="28"/>
    </w:rPr>
  </w:style>
  <w:style w:type="paragraph" w:styleId="5">
    <w:name w:val="heading 4"/>
    <w:basedOn w:val="1"/>
    <w:next w:val="1"/>
    <w:link w:val="26"/>
    <w:semiHidden/>
    <w:unhideWhenUsed/>
    <w:qFormat/>
    <w:uiPriority w:val="9"/>
    <w:pPr>
      <w:keepNext/>
      <w:keepLines/>
      <w:spacing w:before="80" w:after="40"/>
      <w:outlineLvl w:val="3"/>
    </w:pPr>
    <w:rPr>
      <w:i/>
      <w:iCs/>
      <w:color w:val="0F4761"/>
    </w:rPr>
  </w:style>
  <w:style w:type="paragraph" w:styleId="6">
    <w:name w:val="heading 5"/>
    <w:basedOn w:val="1"/>
    <w:next w:val="1"/>
    <w:link w:val="27"/>
    <w:semiHidden/>
    <w:unhideWhenUsed/>
    <w:qFormat/>
    <w:uiPriority w:val="9"/>
    <w:pPr>
      <w:keepNext/>
      <w:keepLines/>
      <w:spacing w:before="80" w:after="40"/>
      <w:outlineLvl w:val="4"/>
    </w:pPr>
    <w:rPr>
      <w:color w:val="0F4761"/>
    </w:rPr>
  </w:style>
  <w:style w:type="paragraph" w:styleId="7">
    <w:name w:val="heading 6"/>
    <w:basedOn w:val="1"/>
    <w:next w:val="1"/>
    <w:link w:val="28"/>
    <w:semiHidden/>
    <w:unhideWhenUsed/>
    <w:qFormat/>
    <w:uiPriority w:val="9"/>
    <w:pPr>
      <w:keepNext/>
      <w:keepLines/>
      <w:spacing w:before="40" w:after="0"/>
      <w:outlineLvl w:val="5"/>
    </w:pPr>
    <w:rPr>
      <w:i/>
      <w:iCs/>
      <w:color w:val="595959"/>
    </w:rPr>
  </w:style>
  <w:style w:type="paragraph" w:styleId="8">
    <w:name w:val="heading 7"/>
    <w:basedOn w:val="1"/>
    <w:next w:val="1"/>
    <w:link w:val="29"/>
    <w:qFormat/>
    <w:uiPriority w:val="9"/>
    <w:pPr>
      <w:keepNext/>
      <w:keepLines/>
      <w:spacing w:before="40" w:after="0"/>
      <w:outlineLvl w:val="6"/>
    </w:pPr>
    <w:rPr>
      <w:color w:val="595959"/>
    </w:rPr>
  </w:style>
  <w:style w:type="paragraph" w:styleId="9">
    <w:name w:val="heading 8"/>
    <w:basedOn w:val="1"/>
    <w:next w:val="1"/>
    <w:link w:val="30"/>
    <w:qFormat/>
    <w:uiPriority w:val="9"/>
    <w:pPr>
      <w:keepNext/>
      <w:keepLines/>
      <w:spacing w:after="0"/>
      <w:outlineLvl w:val="7"/>
    </w:pPr>
    <w:rPr>
      <w:i/>
      <w:iCs/>
      <w:color w:val="272727"/>
    </w:rPr>
  </w:style>
  <w:style w:type="paragraph" w:styleId="10">
    <w:name w:val="heading 9"/>
    <w:basedOn w:val="1"/>
    <w:next w:val="1"/>
    <w:link w:val="31"/>
    <w:qFormat/>
    <w:uiPriority w:val="9"/>
    <w:pPr>
      <w:keepNext/>
      <w:keepLines/>
      <w:spacing w:after="0"/>
      <w:outlineLvl w:val="8"/>
    </w:pPr>
    <w:rPr>
      <w:color w:val="272727"/>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uiPriority w:val="99"/>
    <w:rPr>
      <w:sz w:val="16"/>
      <w:szCs w:val="16"/>
    </w:rPr>
  </w:style>
  <w:style w:type="paragraph" w:styleId="14">
    <w:name w:val="annotation text"/>
    <w:basedOn w:val="1"/>
    <w:link w:val="51"/>
    <w:uiPriority w:val="99"/>
    <w:pPr>
      <w:spacing w:line="240" w:lineRule="auto"/>
    </w:pPr>
    <w:rPr>
      <w:sz w:val="20"/>
      <w:szCs w:val="20"/>
    </w:rPr>
  </w:style>
  <w:style w:type="paragraph" w:styleId="15">
    <w:name w:val="annotation subject"/>
    <w:basedOn w:val="14"/>
    <w:next w:val="14"/>
    <w:link w:val="52"/>
    <w:uiPriority w:val="99"/>
    <w:rPr>
      <w:b/>
      <w:bCs/>
    </w:rPr>
  </w:style>
  <w:style w:type="paragraph" w:styleId="16">
    <w:name w:val="footer"/>
    <w:basedOn w:val="1"/>
    <w:link w:val="42"/>
    <w:uiPriority w:val="99"/>
    <w:pPr>
      <w:tabs>
        <w:tab w:val="center" w:pos="4680"/>
        <w:tab w:val="right" w:pos="9360"/>
      </w:tabs>
      <w:spacing w:after="0" w:line="240" w:lineRule="auto"/>
    </w:pPr>
  </w:style>
  <w:style w:type="paragraph" w:styleId="17">
    <w:name w:val="header"/>
    <w:basedOn w:val="1"/>
    <w:link w:val="41"/>
    <w:uiPriority w:val="99"/>
    <w:pPr>
      <w:tabs>
        <w:tab w:val="center" w:pos="4680"/>
        <w:tab w:val="right" w:pos="9360"/>
      </w:tabs>
      <w:spacing w:after="0" w:line="240" w:lineRule="auto"/>
    </w:pPr>
  </w:style>
  <w:style w:type="character" w:styleId="18">
    <w:name w:val="Hyperlink"/>
    <w:basedOn w:val="11"/>
    <w:uiPriority w:val="99"/>
    <w:rPr>
      <w:color w:val="467886"/>
      <w:u w:val="single"/>
    </w:rPr>
  </w:style>
  <w:style w:type="character" w:styleId="19">
    <w:name w:val="page number"/>
    <w:basedOn w:val="11"/>
    <w:uiPriority w:val="99"/>
  </w:style>
  <w:style w:type="paragraph" w:styleId="20">
    <w:name w:val="Subtitle"/>
    <w:basedOn w:val="1"/>
    <w:next w:val="1"/>
    <w:link w:val="33"/>
    <w:qFormat/>
    <w:uiPriority w:val="11"/>
    <w:rPr>
      <w:color w:val="595959"/>
      <w:spacing w:val="15"/>
      <w:sz w:val="28"/>
      <w:szCs w:val="28"/>
    </w:rPr>
  </w:style>
  <w:style w:type="table" w:styleId="21">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32"/>
    <w:qFormat/>
    <w:uiPriority w:val="10"/>
    <w:pPr>
      <w:spacing w:after="80" w:line="240" w:lineRule="auto"/>
      <w:contextualSpacing/>
    </w:pPr>
    <w:rPr>
      <w:rFonts w:ascii="Aptos Display" w:hAnsi="Aptos Display"/>
      <w:spacing w:val="-10"/>
      <w:kern w:val="28"/>
      <w:sz w:val="56"/>
      <w:szCs w:val="56"/>
    </w:rPr>
  </w:style>
  <w:style w:type="character" w:customStyle="1" w:styleId="23">
    <w:name w:val="Heading 1 Char"/>
    <w:basedOn w:val="11"/>
    <w:link w:val="2"/>
    <w:qFormat/>
    <w:uiPriority w:val="9"/>
    <w:rPr>
      <w:rFonts w:ascii="Aptos Display" w:hAnsi="Aptos Display" w:eastAsia="SimSun" w:cs="SimSun"/>
      <w:color w:val="0F4761"/>
      <w:sz w:val="40"/>
      <w:szCs w:val="40"/>
    </w:rPr>
  </w:style>
  <w:style w:type="character" w:customStyle="1" w:styleId="24">
    <w:name w:val="Heading 2 Char"/>
    <w:basedOn w:val="11"/>
    <w:link w:val="3"/>
    <w:qFormat/>
    <w:uiPriority w:val="9"/>
    <w:rPr>
      <w:rFonts w:ascii="Aptos Display" w:hAnsi="Aptos Display" w:eastAsia="SimSun" w:cs="SimSun"/>
      <w:color w:val="0F4761"/>
      <w:sz w:val="32"/>
      <w:szCs w:val="32"/>
    </w:rPr>
  </w:style>
  <w:style w:type="character" w:customStyle="1" w:styleId="25">
    <w:name w:val="Heading 3 Char"/>
    <w:basedOn w:val="11"/>
    <w:link w:val="4"/>
    <w:uiPriority w:val="9"/>
    <w:rPr>
      <w:rFonts w:eastAsia="SimSun" w:cs="SimSun"/>
      <w:color w:val="0F4761"/>
      <w:sz w:val="28"/>
      <w:szCs w:val="28"/>
    </w:rPr>
  </w:style>
  <w:style w:type="character" w:customStyle="1" w:styleId="26">
    <w:name w:val="Heading 4 Char"/>
    <w:basedOn w:val="11"/>
    <w:link w:val="5"/>
    <w:uiPriority w:val="9"/>
    <w:rPr>
      <w:rFonts w:eastAsia="SimSun" w:cs="SimSun"/>
      <w:i/>
      <w:iCs/>
      <w:color w:val="0F4761"/>
    </w:rPr>
  </w:style>
  <w:style w:type="character" w:customStyle="1" w:styleId="27">
    <w:name w:val="Heading 5 Char"/>
    <w:basedOn w:val="11"/>
    <w:link w:val="6"/>
    <w:uiPriority w:val="9"/>
    <w:rPr>
      <w:rFonts w:eastAsia="SimSun" w:cs="SimSun"/>
      <w:color w:val="0F4761"/>
    </w:rPr>
  </w:style>
  <w:style w:type="character" w:customStyle="1" w:styleId="28">
    <w:name w:val="Heading 6 Char"/>
    <w:basedOn w:val="11"/>
    <w:link w:val="7"/>
    <w:uiPriority w:val="9"/>
    <w:rPr>
      <w:rFonts w:eastAsia="SimSun" w:cs="SimSun"/>
      <w:i/>
      <w:iCs/>
      <w:color w:val="595959"/>
    </w:rPr>
  </w:style>
  <w:style w:type="character" w:customStyle="1" w:styleId="29">
    <w:name w:val="Heading 7 Char"/>
    <w:basedOn w:val="11"/>
    <w:link w:val="8"/>
    <w:uiPriority w:val="9"/>
    <w:rPr>
      <w:rFonts w:eastAsia="SimSun" w:cs="SimSun"/>
      <w:color w:val="595959"/>
    </w:rPr>
  </w:style>
  <w:style w:type="character" w:customStyle="1" w:styleId="30">
    <w:name w:val="Heading 8 Char"/>
    <w:basedOn w:val="11"/>
    <w:link w:val="9"/>
    <w:uiPriority w:val="9"/>
    <w:rPr>
      <w:rFonts w:eastAsia="SimSun" w:cs="SimSun"/>
      <w:i/>
      <w:iCs/>
      <w:color w:val="272727"/>
    </w:rPr>
  </w:style>
  <w:style w:type="character" w:customStyle="1" w:styleId="31">
    <w:name w:val="Heading 9 Char"/>
    <w:basedOn w:val="11"/>
    <w:link w:val="10"/>
    <w:uiPriority w:val="9"/>
    <w:rPr>
      <w:rFonts w:eastAsia="SimSun" w:cs="SimSun"/>
      <w:color w:val="272727"/>
    </w:rPr>
  </w:style>
  <w:style w:type="character" w:customStyle="1" w:styleId="32">
    <w:name w:val="Title Char"/>
    <w:basedOn w:val="11"/>
    <w:link w:val="22"/>
    <w:uiPriority w:val="10"/>
    <w:rPr>
      <w:rFonts w:ascii="Aptos Display" w:hAnsi="Aptos Display" w:eastAsia="SimSun" w:cs="SimSun"/>
      <w:spacing w:val="-10"/>
      <w:kern w:val="28"/>
      <w:sz w:val="56"/>
      <w:szCs w:val="56"/>
    </w:rPr>
  </w:style>
  <w:style w:type="character" w:customStyle="1" w:styleId="33">
    <w:name w:val="Subtitle Char"/>
    <w:basedOn w:val="11"/>
    <w:link w:val="20"/>
    <w:uiPriority w:val="11"/>
    <w:rPr>
      <w:rFonts w:eastAsia="SimSun" w:cs="SimSun"/>
      <w:color w:val="595959"/>
      <w:spacing w:val="15"/>
      <w:sz w:val="28"/>
      <w:szCs w:val="28"/>
    </w:rPr>
  </w:style>
  <w:style w:type="paragraph" w:styleId="34">
    <w:name w:val="Quote"/>
    <w:basedOn w:val="1"/>
    <w:next w:val="1"/>
    <w:link w:val="35"/>
    <w:qFormat/>
    <w:uiPriority w:val="29"/>
    <w:pPr>
      <w:spacing w:before="160"/>
      <w:jc w:val="center"/>
    </w:pPr>
    <w:rPr>
      <w:i/>
      <w:iCs/>
      <w:color w:val="404040"/>
    </w:rPr>
  </w:style>
  <w:style w:type="character" w:customStyle="1" w:styleId="35">
    <w:name w:val="Quote Char"/>
    <w:basedOn w:val="11"/>
    <w:link w:val="34"/>
    <w:uiPriority w:val="29"/>
    <w:rPr>
      <w:i/>
      <w:iCs/>
      <w:color w:val="404040"/>
    </w:rPr>
  </w:style>
  <w:style w:type="paragraph" w:styleId="36">
    <w:name w:val="List Paragraph"/>
    <w:basedOn w:val="1"/>
    <w:qFormat/>
    <w:uiPriority w:val="34"/>
    <w:pPr>
      <w:ind w:left="720"/>
      <w:contextualSpacing/>
    </w:pPr>
  </w:style>
  <w:style w:type="character" w:customStyle="1" w:styleId="37">
    <w:name w:val="Intense Emphasis"/>
    <w:basedOn w:val="11"/>
    <w:qFormat/>
    <w:uiPriority w:val="21"/>
    <w:rPr>
      <w:i/>
      <w:iCs/>
      <w:color w:val="0F4761"/>
    </w:rPr>
  </w:style>
  <w:style w:type="paragraph" w:styleId="38">
    <w:name w:val="Intense Quote"/>
    <w:basedOn w:val="1"/>
    <w:next w:val="1"/>
    <w:link w:val="39"/>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9">
    <w:name w:val="Intense Quote Char"/>
    <w:basedOn w:val="11"/>
    <w:link w:val="38"/>
    <w:uiPriority w:val="30"/>
    <w:rPr>
      <w:i/>
      <w:iCs/>
      <w:color w:val="0F4761"/>
    </w:rPr>
  </w:style>
  <w:style w:type="character" w:customStyle="1" w:styleId="40">
    <w:name w:val="Intense Reference"/>
    <w:basedOn w:val="11"/>
    <w:qFormat/>
    <w:uiPriority w:val="32"/>
    <w:rPr>
      <w:b/>
      <w:bCs/>
      <w:smallCaps/>
      <w:color w:val="0F4761"/>
      <w:spacing w:val="5"/>
    </w:rPr>
  </w:style>
  <w:style w:type="character" w:customStyle="1" w:styleId="41">
    <w:name w:val="Header Char"/>
    <w:basedOn w:val="11"/>
    <w:link w:val="17"/>
    <w:uiPriority w:val="99"/>
  </w:style>
  <w:style w:type="character" w:customStyle="1" w:styleId="42">
    <w:name w:val="Footer Char"/>
    <w:basedOn w:val="11"/>
    <w:link w:val="16"/>
    <w:uiPriority w:val="99"/>
  </w:style>
  <w:style w:type="table" w:customStyle="1" w:styleId="43">
    <w:name w:val="TableGrid"/>
    <w:uiPriority w:val="0"/>
    <w:pPr>
      <w:spacing w:after="0" w:line="240" w:lineRule="auto"/>
    </w:pPr>
    <w:tblPr>
      <w:tblCellMar>
        <w:top w:w="0" w:type="dxa"/>
        <w:left w:w="0" w:type="dxa"/>
        <w:bottom w:w="0" w:type="dxa"/>
        <w:right w:w="0" w:type="dxa"/>
      </w:tblCellMar>
    </w:tblPr>
  </w:style>
  <w:style w:type="character" w:customStyle="1" w:styleId="44">
    <w:name w:val="Unresolved Mention1"/>
    <w:basedOn w:val="11"/>
    <w:uiPriority w:val="99"/>
    <w:rPr>
      <w:color w:val="605E5C"/>
      <w:shd w:val="clear" w:color="auto" w:fill="E1DFDD"/>
    </w:rPr>
  </w:style>
  <w:style w:type="table" w:customStyle="1" w:styleId="45">
    <w:name w:val="TableGrid1"/>
    <w:uiPriority w:val="0"/>
    <w:pPr>
      <w:spacing w:after="0" w:line="240" w:lineRule="auto"/>
    </w:pPr>
    <w:rPr>
      <w:rFonts w:eastAsia="Times New Roman" w:cs="Times New Roman"/>
    </w:rPr>
    <w:tblPr>
      <w:tblCellMar>
        <w:top w:w="0" w:type="dxa"/>
        <w:left w:w="0" w:type="dxa"/>
        <w:bottom w:w="0" w:type="dxa"/>
        <w:right w:w="0" w:type="dxa"/>
      </w:tblCellMar>
    </w:tblPr>
  </w:style>
  <w:style w:type="table" w:customStyle="1" w:styleId="46">
    <w:name w:val="Table Grid1"/>
    <w:basedOn w:val="12"/>
    <w:qFormat/>
    <w:uiPriority w:val="39"/>
    <w:pPr>
      <w:spacing w:after="0" w:line="240" w:lineRule="auto"/>
    </w:pPr>
    <w:rPr>
      <w:rFonts w:eastAsia="DengXi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
    <w:name w:val="Table Grid Light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8">
    <w:name w:val="Plain Table 11"/>
    <w:basedOn w:val="12"/>
    <w:uiPriority w:val="41"/>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49">
    <w:name w:val="Plain Table 21"/>
    <w:basedOn w:val="12"/>
    <w:uiPriority w:val="42"/>
    <w:pPr>
      <w:spacing w:after="0" w:line="240" w:lineRule="auto"/>
    </w:p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paragraph" w:customStyle="1" w:styleId="50">
    <w:name w:val="Revision"/>
    <w:uiPriority w:val="99"/>
    <w:pPr>
      <w:spacing w:after="0" w:line="240" w:lineRule="auto"/>
    </w:pPr>
    <w:rPr>
      <w:rFonts w:ascii="Aptos" w:hAnsi="Aptos" w:eastAsia="SimSun" w:cs="SimSun"/>
      <w:kern w:val="2"/>
      <w:sz w:val="24"/>
      <w:szCs w:val="24"/>
      <w:lang w:val="en-GB" w:eastAsia="en-US" w:bidi="ar-SA"/>
      <w14:ligatures w14:val="standardContextual"/>
    </w:rPr>
  </w:style>
  <w:style w:type="character" w:customStyle="1" w:styleId="51">
    <w:name w:val="Comment Text Char"/>
    <w:basedOn w:val="11"/>
    <w:link w:val="14"/>
    <w:uiPriority w:val="99"/>
    <w:rPr>
      <w:sz w:val="20"/>
      <w:szCs w:val="20"/>
    </w:rPr>
  </w:style>
  <w:style w:type="character" w:customStyle="1" w:styleId="52">
    <w:name w:val="Comment Subject Char"/>
    <w:basedOn w:val="51"/>
    <w:link w:val="15"/>
    <w:uiPriority w:val="99"/>
    <w:rPr>
      <w:b/>
      <w:bCs/>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2933</Words>
  <Characters>19531</Characters>
  <Lines>294</Lines>
  <Paragraphs>82</Paragraphs>
  <TotalTime>173</TotalTime>
  <ScaleCrop>false</ScaleCrop>
  <LinksUpToDate>false</LinksUpToDate>
  <CharactersWithSpaces>22429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2026-06-10T11:44:00Z</dcterms:created>
  <dc:creator>Oluwafunmilola Ikuesan</dc:creator>
  <cp:lastModifiedBy>WPS_1643788063</cp:lastModifiedBy>
  <dcterms:modified xsi:type="dcterms:W3CDTF">2026-06-11T12:53:10Z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7c5a4e2c-c8bf-4af4-b2b8-a39d6ac727f1</vt:lpwstr>
  </property>
  <property fmtid="{D5CDD505-2E9C-101B-9397-08002B2CF9AE}" pid="3" name="ICV">
    <vt:lpwstr>EE6F482D52064EAC82B7623FD4828800_13</vt:lpwstr>
  </property>
  <property fmtid="{D5CDD505-2E9C-101B-9397-08002B2CF9AE}" pid="4" name="_DocHome">
    <vt:i4>-1873313208</vt:i4>
  </property>
  <property fmtid="{D5CDD505-2E9C-101B-9397-08002B2CF9AE}" pid="5" name="KSOProductBuildVer">
    <vt:lpwstr>1033-12.1.0.26880</vt:lpwstr>
  </property>
  <property fmtid="{D5CDD505-2E9C-101B-9397-08002B2CF9AE}" pid="6" name="KSOTemplateDocerSaveRecord">
    <vt:lpwstr>eyJoZGlkIjoiOTQ1OWVjYjI3NzkwMjkwOTVmZDc3ZjI0ZTgzNzRkZWMiLCJ1c2VySWQiOiIyNzY2Mjc5MzA1ODc5In0=</vt:lpwstr>
  </property>
</Properties>
</file>